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vml" ContentType="application/vnd.openxmlformats-officedocument.vmlDrawing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media/image1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/Relationships>
</file>

<file path=word/document.xml><?xml version="1.0" encoding="utf-8"?>
<w:document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body>
    <w:p w:rsidP="00ea36b7">
      <w:pPr>
        <w:pStyle w:val="Normal"/>
        <w:rPr>
          <w:i/>
          <w:sz w:val="20"/>
          <w:szCs w:val="20"/>
          <w:rFonts w:ascii="Times New Roman" w:hAnsi="Times New Roman"/>
        </w:rPr>
        <w:suppressAutoHyphens/>
        <w:spacing w:after="0" w:line="240" w:lineRule="auto"/>
        <w:jc w:val="both"/>
      </w:pPr>
      <w:r w:rsidR="00e80839" w:rsidRPr="00e80839">
        <w:rPr>
          <w:i/>
          <w:sz w:val="20"/>
          <w:szCs w:val="20"/>
          <w:rFonts w:ascii="Times New Roman" w:hAnsi="Times New Roman"/>
        </w:rPr>
      </w:r>
    </w:p>
    <w:tbl>
      <w:tblPr>
        <w:tblW w:type="dxa" w:w="10173"/>
        <w:tblLook w:val="01e0"/>
        <w:tblW w:type="dxa" w:w="10173"/>
        <w:tblpPr w:horzAnchor="margin" w:leftFromText="181" w:rightFromText="181" w:tblpX="40" w:tblpY="23" w:vertAnchor="text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10173"/>
      </w:tblGrid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10173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8428f2">
            <w:pPr>
              <w:pStyle w:val="Normal"/>
              <w:rPr>
                <w:u w:val="single"/>
                <w:sz w:val="30"/>
                <w:szCs w:val="30"/>
                <w:rFonts w:ascii="Bookman Old Style" w:hAnsi="Bookman Old Style"/>
                <w:color w:val="ff0000"/>
              </w:rPr>
              <w:widowControl w:val="off"/>
              <w:autoSpaceDE w:val="off"/>
              <w:autoSpaceDN w:val="off"/>
              <w:framePr w:hAnchor="margin" w:hSpace="181" w:vAnchor="text" w:wrap="around" w:x="40" w:y="23"/>
              <w:spacing w:after="0" w:before="120" w:line="240" w:lineRule="auto"/>
              <w:jc w:val="center"/>
            </w:pPr>
            <w:r w:rsidR="002a1b02" w:rsidRPr="008f6cda">
              <w:rPr>
                <w:noProof/>
                <w:color w:val="ff0000"/>
              </w:rPr>
              <w:pict>
                <v:shapetype id="_x0000_t75" coordsize="21600,21600" o:spt="75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/>
                  <o:lock aspectratio="t" v:ext="edit"/>
                </v:shapetype>
                <v:shape type="#_x0000_t75" style="width:91.560000000000016pt;height:77.969999999999999pt;" id="{99D06679-786A-45FF-9C98-C724AC14C673}">
                  <v:imagedata o:title="" r:id="rId3"/>
                  <w10:bordertop type="none" width="0"/>
                  <w10:borderleft type="none" width="0"/>
                  <w10:borderbottom type="none" width="0"/>
                  <w10:borderright type="none" width="0"/>
                </v:shape>
              </w:pict>
            </w:r>
            <w:r w:rsidR="002a1b02" w:rsidRPr="00981668">
              <w:rPr>
                <w:u w:val="single"/>
                <w:sz w:val="30"/>
                <w:szCs w:val="30"/>
                <w:rFonts w:ascii="Bookman Old Style" w:hAnsi="Bookman Old Style"/>
                <w:color w:val="ff0000"/>
              </w:rPr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10173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8428f2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widowControl w:val="off"/>
              <w:autoSpaceDE w:val="off"/>
              <w:autoSpaceDN w:val="off"/>
              <w:framePr w:hAnchor="margin" w:hSpace="181" w:vAnchor="text" w:wrap="around" w:x="40" w:y="23"/>
              <w:spacing w:after="0" w:line="240" w:lineRule="auto"/>
              <w:jc w:val="center"/>
            </w:pPr>
            <w:r w:rsidR="00904b29" w:rsidRPr="00fe23f5">
              <w:rPr>
                <w:sz w:val="30"/>
                <w:szCs w:val="30"/>
                <w:rFonts w:ascii="Bookman Old Style" w:hAnsi="Bookman Old Style"/>
              </w:rPr>
              <w:t xml:space="preserve">ГОРОДСКАЯ ДУМА</w:t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10173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8428f2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widowControl w:val="off"/>
              <w:autoSpaceDE w:val="off"/>
              <w:autoSpaceDN w:val="off"/>
              <w:framePr w:hAnchor="margin" w:hSpace="181" w:vAnchor="text" w:wrap="around" w:x="40" w:y="23"/>
              <w:spacing w:after="0" w:line="240" w:lineRule="auto"/>
              <w:jc w:val="center"/>
            </w:pPr>
            <w:r w:rsidR="00904b29" w:rsidRPr="00fe23f5">
              <w:rPr>
                <w:sz w:val="30"/>
                <w:szCs w:val="30"/>
                <w:rFonts w:ascii="Bookman Old Style" w:hAnsi="Bookman Old Style"/>
              </w:rPr>
              <w:t xml:space="preserve">ПЕТРОПАВЛОВСК-КАМЧАТСКОГО ГОРОДСКОГО ОКРУГА</w:t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10173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2369c6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widowControl w:val="off"/>
              <w:autoSpaceDE w:val="off"/>
              <w:autoSpaceDN w:val="off"/>
              <w:framePr w:hAnchor="margin" w:hSpace="181" w:vAnchor="text" w:wrap="around" w:x="40" w:y="23"/>
              <w:ind w:right="176"/>
              <w:spacing w:after="0" w:line="240" w:lineRule="auto"/>
            </w:pPr>
            <w:r w:rsidR="005912af" w:rsidRPr="00cd50e2">
              <w:rPr>
                <w:noProof/>
              </w:rPr>
              <w:pict>
                <v:line id="_x0000_s1029" type="#_x0000_t20" style="position:absolute;mso-position-vertical-relative:page;" from="-0.10000000000000001pt,11.199999999999999pt" to="509.85000000000002pt,11.199999999999999pt" strokeweight="63500">
                  <v:stroke linestyle="thickThin"/>
                </v:line>
              </w:pict>
            </w:r>
            <w:r w:rsidR="00904b29" w:rsidRPr="00fe23f5">
              <w:rPr>
                <w:sz w:val="30"/>
                <w:szCs w:val="30"/>
                <w:rFonts w:ascii="Bookman Old Style" w:hAnsi="Bookman Old Style"/>
              </w:rPr>
            </w:r>
          </w:p>
        </w:tc>
      </w:tr>
    </w:tbl>
    <w:p w:rsidP="00904b29">
      <w:pPr>
        <w:pStyle w:val="Normal"/>
        <w:rPr>
          <w:sz w:val="28"/>
          <w:bCs/>
          <w:szCs w:val="28"/>
          <w:rFonts w:ascii="Times New Roman" w:hAnsi="Times New Roman"/>
        </w:rPr>
        <w:spacing w:after="0" w:line="240" w:lineRule="auto"/>
      </w:pPr>
      <w:r w:rsidR="009d4386" w:rsidRPr="00ea36b7">
        <w:rPr>
          <w:sz w:val="28"/>
          <w:bCs/>
          <w:szCs w:val="28"/>
          <w:rFonts w:ascii="Times New Roman" w:hAnsi="Times New Roman"/>
        </w:rPr>
      </w:r>
    </w:p>
    <w:p w:rsidP="00c40dcd">
      <w:pPr>
        <w:pStyle w:val="Normal"/>
        <w:rPr>
          <w:b/>
          <w:sz w:val="36"/>
          <w:bCs/>
          <w:szCs w:val="36"/>
          <w:rFonts w:ascii="Times New Roman" w:hAnsi="Times New Roman"/>
        </w:rPr>
        <w:spacing w:after="0" w:line="240" w:lineRule="auto"/>
        <w:jc w:val="center"/>
      </w:pPr>
      <w:r w:rsidR="009d4386" w:rsidRPr="003c5041">
        <w:rPr>
          <w:b/>
          <w:sz w:val="36"/>
          <w:bCs/>
          <w:szCs w:val="36"/>
          <w:rFonts w:ascii="Times New Roman" w:hAnsi="Times New Roman"/>
        </w:rPr>
        <w:t xml:space="preserve">РЕШЕНИЕ</w:t>
      </w:r>
    </w:p>
    <w:p w:rsidP="00c40dcd">
      <w:pPr>
        <w:pStyle w:val="Normal"/>
        <w:rPr>
          <w:sz w:val="28"/>
          <w:szCs w:val="28"/>
          <w:rFonts w:ascii="Times New Roman" w:hAnsi="Times New Roman"/>
        </w:rPr>
        <w:ind w:firstLine="708"/>
        <w:spacing w:after="0" w:line="240" w:lineRule="auto"/>
        <w:jc w:val="both"/>
      </w:pPr>
      <w:r w:rsidR="009d4386" w:rsidRPr="002369c6">
        <w:rPr>
          <w:sz w:val="28"/>
          <w:szCs w:val="28"/>
          <w:rFonts w:ascii="Times New Roman" w:hAnsi="Times New Roman"/>
        </w:rPr>
      </w:r>
    </w:p>
    <w:tbl>
      <w:tblPr>
        <w:tblW w:type="auto" w:w="0"/>
        <w:tblLook w:val="01e0"/>
        <w:tblW w:type="auto" w:w="0"/>
        <w:tblInd w:type="dxa" w:w="108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3026"/>
      </w:tblGrid>
      <w:tr>
        <w:trPr>
          <w:trHeight w:hRule="atLeast" w:val="328"/>
          <w:wAfter w:type="dxa" w:w="0"/>
          <w:trHeight w:hRule="atLeast" w:val="328"/>
          <w:wAfter w:type="dxa" w:w="0"/>
        </w:trPr>
        <w:tc>
          <w:tcPr>
            <w:textDirection w:val="lrTb"/>
            <w:vAlign w:val="top"/>
            <w:tcW w:type="dxa" w:w="3026"/>
            <w:tcBorders>
              <w:top w:val="nil"/>
              <w:left w:val="nil"/>
              <w:bottom w:color="000000" w:space="0" w:sz="4" w:val="single"/>
              <w:right w:val="nil"/>
            </w:tcBorders>
          </w:tcPr>
          <w:p w:rsidP="003e6231">
            <w:pPr>
              <w:pStyle w:val="BodyText"/>
              <w:jc w:val="center"/>
            </w:pPr>
            <w:r w:rsidR="00ea36b7">
              <w:t xml:space="preserve">от 26.02.2014 </w:t>
            </w:r>
            <w:r w:rsidR="00044451" w:rsidRPr="007c3ad0">
              <w:t xml:space="preserve">№</w:t>
            </w:r>
            <w:r w:rsidR="00ea36b7">
              <w:t xml:space="preserve"> 44</w:t>
            </w:r>
            <w:r w:rsidR="003e6231">
              <w:t xml:space="preserve">7</w:t>
            </w:r>
            <w:r w:rsidR="00044451">
              <w:t xml:space="preserve">-р</w:t>
            </w:r>
            <w:r w:rsidR="009d4386" w:rsidRPr="00de2377"/>
          </w:p>
        </w:tc>
      </w:tr>
      <w:tr>
        <w:trPr>
          <w:trHeight w:hRule="atLeast" w:val="328"/>
          <w:wAfter w:type="dxa" w:w="0"/>
          <w:trHeight w:hRule="atLeast" w:val="328"/>
          <w:wAfter w:type="dxa" w:w="0"/>
        </w:trPr>
        <w:tc>
          <w:tcPr>
            <w:textDirection w:val="lrTb"/>
            <w:vAlign w:val="top"/>
            <w:tcW w:type="dxa" w:w="3026"/>
            <w:tcBorders>
              <w:top w:color="000000" w:space="0" w:sz="4" w:val="single"/>
              <w:left w:val="nil"/>
              <w:bottom w:color="000000" w:space="0" w:sz="4" w:val="single"/>
              <w:right w:val="nil"/>
            </w:tcBorders>
          </w:tcPr>
          <w:p w:rsidP="007906bd">
            <w:pPr>
              <w:pStyle w:val="BodyText"/>
              <w:jc w:val="center"/>
            </w:pPr>
            <w:r w:rsidR="00ea36b7">
              <w:t xml:space="preserve">13</w:t>
            </w:r>
            <w:r w:rsidR="00e247d2">
              <w:t xml:space="preserve">-я </w:t>
            </w:r>
            <w:r w:rsidR="009d4386" w:rsidRPr="00de2377">
              <w:t xml:space="preserve">сессия</w:t>
            </w:r>
          </w:p>
        </w:tc>
      </w:tr>
      <w:tr>
        <w:trPr>
          <w:trHeight w:hRule="atLeast" w:val="268"/>
          <w:wAfter w:type="dxa" w:w="0"/>
          <w:trHeight w:hRule="atLeast" w:val="268"/>
          <w:wAfter w:type="dxa" w:w="0"/>
        </w:trPr>
        <w:tc>
          <w:tcPr>
            <w:textDirection w:val="lrTb"/>
            <w:vAlign w:val="top"/>
            <w:tcW w:type="dxa" w:w="3026"/>
            <w:tcBorders>
              <w:top w:color="000000" w:space="0" w:sz="4" w:val="single"/>
              <w:left w:val="nil"/>
              <w:bottom w:val="nil"/>
              <w:right w:val="nil"/>
            </w:tcBorders>
          </w:tcPr>
          <w:p w:rsidP="00c40dcd">
            <w:pPr>
              <w:pStyle w:val="BodyText"/>
              <w:rPr>
                <w:sz w:val="22"/>
                <w:szCs w:val="22"/>
              </w:rPr>
              <w:jc w:val="center"/>
            </w:pPr>
            <w:r w:rsidR="009d4386" w:rsidRPr="00f30375">
              <w:rPr>
                <w:sz w:val="22"/>
                <w:szCs w:val="22"/>
              </w:rPr>
              <w:t xml:space="preserve">г.Петропавловск-Камчатский</w:t>
            </w:r>
          </w:p>
        </w:tc>
      </w:tr>
    </w:tbl>
    <w:p w:rsidP="008145a0">
      <w:pPr>
        <w:pStyle w:val="Normal"/>
        <w:rPr>
          <w:sz w:val="28"/>
          <w:iCs/>
          <w:szCs w:val="28"/>
        </w:rPr>
        <w:spacing w:after="0" w:line="240" w:lineRule="auto"/>
        <w:jc w:val="right"/>
      </w:pPr>
      <w:r w:rsidR="009d4386" w:rsidRPr="00ea36b7">
        <w:rPr>
          <w:sz w:val="28"/>
          <w:iCs/>
          <w:szCs w:val="28"/>
        </w:rPr>
      </w:r>
    </w:p>
    <w:tbl>
      <w:tblPr>
        <w:tblW w:type="auto" w:w="0"/>
        <w:tblLook w:val="01e0"/>
        <w:tblW w:type="auto" w:w="0"/>
        <w:tblInd w:type="dxa" w:w="-34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5104"/>
      </w:tblGrid>
      <w:tr>
        <w:trPr>
          <w:trHeight w:hRule="atLeast" w:val="1154"/>
          <w:wAfter w:type="dxa" w:w="0"/>
          <w:trHeight w:hRule="atLeast" w:val="1154"/>
          <w:wAfter w:type="dxa" w:w="0"/>
        </w:trPr>
        <w:tc>
          <w:tcPr>
            <w:textDirection w:val="lrTb"/>
            <w:vAlign w:val="top"/>
            <w:tcW w:type="dxa" w:w="5104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9d0bd7">
            <w:pPr>
              <w:pStyle w:val="Normal"/>
              <w:rPr>
                <w:sz w:val="28"/>
                <w:szCs w:val="28"/>
                <w:rFonts w:ascii="Times New Roman" w:hAnsi="Times New Roman"/>
              </w:rPr>
              <w:tabs>
                <w:tab w:leader="none" w:pos="106" w:val="left"/>
                <w:tab w:leader="none" w:pos="142" w:val="left"/>
                <w:tab w:leader="none" w:pos="709" w:val="left"/>
                <w:tab w:leader="none" w:pos="1134" w:val="left"/>
                <w:tab w:leader="none" w:pos="5279" w:val="left"/>
              </w:tabs>
              <w:contextualSpacing/>
              <w:spacing w:after="0" w:line="240" w:lineRule="auto"/>
              <w:jc w:val="both"/>
            </w:pPr>
            <w:r w:rsidR="00681cb4" w:rsidRPr="00786dab">
              <w:rPr>
                <w:sz w:val="28"/>
                <w:szCs w:val="28"/>
                <w:rFonts w:ascii="Times New Roman" w:hAnsi="Times New Roman"/>
              </w:rPr>
              <w:t xml:space="preserve">О </w:t>
            </w:r>
            <w:r w:rsidR="00681cb4">
              <w:rPr>
                <w:sz w:val="28"/>
                <w:szCs w:val="28"/>
                <w:rFonts w:ascii="Times New Roman" w:hAnsi="Times New Roman"/>
              </w:rPr>
              <w:t xml:space="preserve">поручениях Городской Думы </w:t>
            </w:r>
            <w:r w:rsidR="00681cb4" w:rsidRPr="00786dab">
              <w:rPr>
                <w:sz w:val="28"/>
                <w:szCs w:val="28"/>
                <w:rFonts w:ascii="Times New Roman" w:hAnsi="Times New Roman"/>
              </w:rPr>
              <w:t xml:space="preserve">Петропавловск-Камчатского городского округа Контрольно-сч</w:t>
            </w:r>
            <w:r w:rsidR="00681cb4">
              <w:rPr>
                <w:sz w:val="28"/>
                <w:szCs w:val="28"/>
                <w:rFonts w:ascii="Times New Roman" w:hAnsi="Times New Roman"/>
              </w:rPr>
              <w:t xml:space="preserve">е</w:t>
            </w:r>
            <w:r w:rsidR="00681cb4" w:rsidRPr="00786dab">
              <w:rPr>
                <w:sz w:val="28"/>
                <w:szCs w:val="28"/>
                <w:rFonts w:ascii="Times New Roman" w:hAnsi="Times New Roman"/>
              </w:rPr>
              <w:t xml:space="preserve">тной палате Петропавловск-Камчатского городского о</w:t>
            </w:r>
            <w:r w:rsidR="00681cb4" w:rsidRPr="00786dab">
              <w:rPr>
                <w:sz w:val="28"/>
                <w:szCs w:val="28"/>
                <w:rFonts w:ascii="Times New Roman" w:hAnsi="Times New Roman"/>
              </w:rPr>
              <w:t xml:space="preserve">к</w:t>
            </w:r>
            <w:r w:rsidR="00681cb4" w:rsidRPr="00786dab">
              <w:rPr>
                <w:sz w:val="28"/>
                <w:szCs w:val="28"/>
                <w:rFonts w:ascii="Times New Roman" w:hAnsi="Times New Roman"/>
              </w:rPr>
              <w:t xml:space="preserve">руга на 20</w:t>
            </w:r>
            <w:r w:rsidR="00681cb4">
              <w:rPr>
                <w:sz w:val="28"/>
                <w:szCs w:val="28"/>
                <w:rFonts w:ascii="Times New Roman" w:hAnsi="Times New Roman"/>
              </w:rPr>
              <w:t xml:space="preserve">14</w:t>
            </w:r>
            <w:r w:rsidR="00681cb4" w:rsidRPr="00786dab">
              <w:rPr>
                <w:sz w:val="28"/>
                <w:szCs w:val="28"/>
                <w:rFonts w:ascii="Times New Roman" w:hAnsi="Times New Roman"/>
              </w:rPr>
              <w:t xml:space="preserve"> год</w:t>
            </w:r>
            <w:r w:rsidR="009d4386" w:rsidRPr="002f63bd">
              <w:rPr>
                <w:sz w:val="28"/>
                <w:szCs w:val="28"/>
                <w:rFonts w:ascii="Times New Roman" w:hAnsi="Times New Roman"/>
              </w:rPr>
            </w:r>
          </w:p>
        </w:tc>
      </w:tr>
    </w:tbl>
    <w:p w:rsidP="0086162a">
      <w:pPr>
        <w:pStyle w:val="Normal"/>
        <w:rPr>
          <w:sz w:val="28"/>
          <w:szCs w:val="28"/>
          <w:rFonts w:ascii="Times New Roman" w:hAnsi="Times New Roman"/>
        </w:rPr>
        <w:ind w:firstLine="708"/>
        <w:spacing w:after="0" w:line="240" w:lineRule="auto"/>
        <w:jc w:val="both"/>
      </w:pPr>
      <w:r w:rsidR="008145a0" w:rsidRPr="002369c6">
        <w:rPr>
          <w:sz w:val="28"/>
          <w:szCs w:val="28"/>
          <w:rFonts w:ascii="Times New Roman" w:hAnsi="Times New Roman"/>
        </w:rPr>
      </w:r>
    </w:p>
    <w:p w:rsidP="00cf19b8">
      <w:pPr>
        <w:pStyle w:val="Normal"/>
        <w:rPr>
          <w:sz w:val="28"/>
          <w:szCs w:val="28"/>
          <w:rFonts w:ascii="Times New Roman" w:hAnsi="Times New Roman"/>
        </w:rPr>
        <w:ind w:firstLine="709"/>
        <w:spacing w:after="0" w:line="240" w:lineRule="auto"/>
        <w:jc w:val="both"/>
      </w:pPr>
      <w:r w:rsidR="009d0bd7">
        <w:rPr>
          <w:sz w:val="28"/>
          <w:szCs w:val="28"/>
          <w:rFonts w:ascii="Times New Roman" w:hAnsi="Times New Roman"/>
        </w:rPr>
        <w:t xml:space="preserve">В соответствии со </w:t>
      </w:r>
      <w:r w:rsidR="00681cb4" w:rsidRPr="00786dab">
        <w:rPr>
          <w:sz w:val="28"/>
          <w:szCs w:val="28"/>
          <w:rFonts w:ascii="Times New Roman" w:hAnsi="Times New Roman"/>
        </w:rPr>
        <w:t xml:space="preserve">стать</w:t>
      </w:r>
      <w:r w:rsidR="00681cb4">
        <w:rPr>
          <w:sz w:val="28"/>
          <w:szCs w:val="28"/>
          <w:rFonts w:ascii="Times New Roman" w:hAnsi="Times New Roman"/>
        </w:rPr>
        <w:t xml:space="preserve">е</w:t>
      </w:r>
      <w:r w:rsidR="00681cb4" w:rsidRPr="00786dab">
        <w:rPr>
          <w:sz w:val="28"/>
          <w:szCs w:val="28"/>
          <w:rFonts w:ascii="Times New Roman" w:hAnsi="Times New Roman"/>
        </w:rPr>
        <w:t xml:space="preserve">й </w:t>
      </w:r>
      <w:r w:rsidR="00681cb4">
        <w:rPr>
          <w:sz w:val="28"/>
          <w:szCs w:val="28"/>
          <w:rFonts w:ascii="Times New Roman" w:hAnsi="Times New Roman"/>
        </w:rPr>
        <w:t xml:space="preserve">54 </w:t>
      </w:r>
      <w:r w:rsidR="00681cb4" w:rsidRPr="00786dab">
        <w:rPr>
          <w:sz w:val="28"/>
          <w:szCs w:val="28"/>
          <w:rFonts w:ascii="Times New Roman" w:hAnsi="Times New Roman"/>
        </w:rPr>
        <w:t xml:space="preserve">Устава Петропавловск-Камчатского горо</w:t>
      </w:r>
      <w:r w:rsidR="00681cb4" w:rsidRPr="00786dab">
        <w:rPr>
          <w:sz w:val="28"/>
          <w:szCs w:val="28"/>
          <w:rFonts w:ascii="Times New Roman" w:hAnsi="Times New Roman"/>
        </w:rPr>
        <w:t xml:space="preserve">д</w:t>
      </w:r>
      <w:r w:rsidR="00681cb4" w:rsidRPr="00786dab">
        <w:rPr>
          <w:sz w:val="28"/>
          <w:szCs w:val="28"/>
          <w:rFonts w:ascii="Times New Roman" w:hAnsi="Times New Roman"/>
        </w:rPr>
        <w:t xml:space="preserve">ского округа, стать</w:t>
      </w:r>
      <w:r w:rsidR="00681cb4">
        <w:rPr>
          <w:sz w:val="28"/>
          <w:szCs w:val="28"/>
          <w:rFonts w:ascii="Times New Roman" w:hAnsi="Times New Roman"/>
        </w:rPr>
        <w:t xml:space="preserve">ей 11</w:t>
      </w:r>
      <w:r w:rsidR="00681cb4" w:rsidRPr="00786dab">
        <w:rPr>
          <w:sz w:val="28"/>
          <w:szCs w:val="28"/>
          <w:rFonts w:ascii="Times New Roman" w:hAnsi="Times New Roman"/>
        </w:rPr>
        <w:t xml:space="preserve"> Положения о Контрольно-сч</w:t>
      </w:r>
      <w:r w:rsidR="00681cb4">
        <w:rPr>
          <w:sz w:val="28"/>
          <w:szCs w:val="28"/>
          <w:rFonts w:ascii="Times New Roman" w:hAnsi="Times New Roman"/>
        </w:rPr>
        <w:t xml:space="preserve">е</w:t>
      </w:r>
      <w:r w:rsidR="00681cb4" w:rsidRPr="00786dab">
        <w:rPr>
          <w:sz w:val="28"/>
          <w:szCs w:val="28"/>
          <w:rFonts w:ascii="Times New Roman" w:hAnsi="Times New Roman"/>
        </w:rPr>
        <w:t xml:space="preserve">тной палате Петропа</w:t>
      </w:r>
      <w:r w:rsidR="00681cb4" w:rsidRPr="00786dab">
        <w:rPr>
          <w:sz w:val="28"/>
          <w:szCs w:val="28"/>
          <w:rFonts w:ascii="Times New Roman" w:hAnsi="Times New Roman"/>
        </w:rPr>
        <w:t xml:space="preserve">в</w:t>
      </w:r>
      <w:r w:rsidR="00681cb4" w:rsidRPr="00786dab">
        <w:rPr>
          <w:sz w:val="28"/>
          <w:szCs w:val="28"/>
          <w:rFonts w:ascii="Times New Roman" w:hAnsi="Times New Roman"/>
        </w:rPr>
        <w:t xml:space="preserve">ловск-Камчатского городского округа</w:t>
      </w:r>
      <w:r w:rsidR="00681cb4">
        <w:rPr>
          <w:sz w:val="28"/>
          <w:szCs w:val="28"/>
          <w:rFonts w:ascii="Times New Roman" w:hAnsi="Times New Roman"/>
        </w:rPr>
        <w:t xml:space="preserve">,</w:t>
      </w:r>
      <w:r w:rsidR="00681cb4" w:rsidRPr="00b20279">
        <w:rPr>
          <w:szCs w:val="28"/>
        </w:rPr>
        <w:t xml:space="preserve"> </w:t>
      </w:r>
      <w:r w:rsidR="00681cb4" w:rsidRPr="00b20279">
        <w:rPr>
          <w:sz w:val="28"/>
          <w:szCs w:val="28"/>
          <w:rFonts w:ascii="Times New Roman" w:hAnsi="Times New Roman"/>
        </w:rPr>
        <w:t xml:space="preserve">утвержденно</w:t>
      </w:r>
      <w:r w:rsidR="00681cb4">
        <w:rPr>
          <w:sz w:val="28"/>
          <w:szCs w:val="28"/>
          <w:rFonts w:ascii="Times New Roman" w:hAnsi="Times New Roman"/>
        </w:rPr>
        <w:t xml:space="preserve">го</w:t>
      </w:r>
      <w:r w:rsidR="00681cb4" w:rsidRPr="00b20279">
        <w:rPr>
          <w:sz w:val="28"/>
          <w:szCs w:val="28"/>
          <w:rFonts w:ascii="Times New Roman" w:hAnsi="Times New Roman"/>
        </w:rPr>
        <w:t xml:space="preserve"> решением Петропа</w:t>
      </w:r>
      <w:r w:rsidR="00681cb4" w:rsidRPr="00b20279">
        <w:rPr>
          <w:sz w:val="28"/>
          <w:szCs w:val="28"/>
          <w:rFonts w:ascii="Times New Roman" w:hAnsi="Times New Roman"/>
        </w:rPr>
        <w:t xml:space="preserve">в</w:t>
      </w:r>
      <w:r w:rsidR="00681cb4" w:rsidRPr="00b20279">
        <w:rPr>
          <w:sz w:val="28"/>
          <w:szCs w:val="28"/>
          <w:rFonts w:ascii="Times New Roman" w:hAnsi="Times New Roman"/>
        </w:rPr>
        <w:t xml:space="preserve">ловск-Камчатской Городской Думы от 05.07.2005</w:t>
      </w:r>
      <w:r w:rsidR="00681cb4">
        <w:rPr>
          <w:sz w:val="28"/>
          <w:szCs w:val="28"/>
          <w:rFonts w:ascii="Times New Roman" w:hAnsi="Times New Roman"/>
        </w:rPr>
        <w:t xml:space="preserve"> </w:t>
      </w:r>
      <w:r w:rsidR="00681cb4" w:rsidRPr="00b20279">
        <w:rPr>
          <w:sz w:val="28"/>
          <w:szCs w:val="28"/>
          <w:rFonts w:ascii="Times New Roman" w:hAnsi="Times New Roman"/>
        </w:rPr>
        <w:t xml:space="preserve">№</w:t>
      </w:r>
      <w:r w:rsidR="00681cb4">
        <w:rPr>
          <w:sz w:val="28"/>
          <w:szCs w:val="28"/>
          <w:rFonts w:ascii="Times New Roman" w:hAnsi="Times New Roman"/>
        </w:rPr>
        <w:t xml:space="preserve"> </w:t>
      </w:r>
      <w:r w:rsidR="00681cb4" w:rsidRPr="00b20279">
        <w:rPr>
          <w:sz w:val="28"/>
          <w:szCs w:val="28"/>
          <w:rFonts w:ascii="Times New Roman" w:hAnsi="Times New Roman"/>
        </w:rPr>
        <w:t xml:space="preserve">172-р,</w:t>
      </w:r>
      <w:r w:rsidR="00681cb4" w:rsidRPr="00786dab">
        <w:rPr>
          <w:sz w:val="28"/>
          <w:szCs w:val="28"/>
          <w:rFonts w:ascii="Times New Roman" w:hAnsi="Times New Roman"/>
        </w:rPr>
        <w:t xml:space="preserve"> Городская Дума Петропавловск-Камчатского г</w:t>
      </w:r>
      <w:r w:rsidR="00681cb4" w:rsidRPr="00786dab">
        <w:rPr>
          <w:sz w:val="28"/>
          <w:szCs w:val="28"/>
          <w:rFonts w:ascii="Times New Roman" w:hAnsi="Times New Roman"/>
        </w:rPr>
        <w:t xml:space="preserve">о</w:t>
      </w:r>
      <w:r w:rsidR="00681cb4" w:rsidRPr="00786dab">
        <w:rPr>
          <w:sz w:val="28"/>
          <w:szCs w:val="28"/>
          <w:rFonts w:ascii="Times New Roman" w:hAnsi="Times New Roman"/>
        </w:rPr>
        <w:t xml:space="preserve">родского округа </w:t>
      </w:r>
    </w:p>
    <w:p w:rsidP="00c40dcd">
      <w:pPr>
        <w:pStyle w:val="Normal"/>
        <w:rPr>
          <w:sz w:val="28"/>
          <w:szCs w:val="28"/>
          <w:rFonts w:ascii="Times New Roman" w:hAnsi="Times New Roman"/>
        </w:rPr>
        <w:ind w:firstLine="708"/>
        <w:spacing w:after="0" w:line="240" w:lineRule="auto"/>
        <w:jc w:val="both"/>
      </w:pPr>
      <w:r w:rsidR="009d4386" w:rsidRPr="002369c6">
        <w:rPr>
          <w:sz w:val="28"/>
          <w:szCs w:val="28"/>
          <w:rFonts w:ascii="Times New Roman" w:hAnsi="Times New Roman"/>
        </w:rPr>
      </w:r>
    </w:p>
    <w:p w:rsidP="00c40dcd">
      <w:pPr>
        <w:pStyle w:val="Normal"/>
        <w:rPr>
          <w:b/>
          <w:sz w:val="28"/>
          <w:bCs/>
          <w:szCs w:val="28"/>
          <w:rFonts w:ascii="Times New Roman" w:hAnsi="Times New Roman"/>
        </w:rPr>
        <w:spacing w:after="0" w:line="240" w:lineRule="auto"/>
      </w:pPr>
      <w:r w:rsidR="009d4386" w:rsidRPr="003c5041">
        <w:rPr>
          <w:b/>
          <w:sz w:val="28"/>
          <w:bCs/>
          <w:szCs w:val="28"/>
          <w:rFonts w:ascii="Times New Roman" w:hAnsi="Times New Roman"/>
        </w:rPr>
        <w:t xml:space="preserve">РЕШИЛА:</w:t>
      </w:r>
    </w:p>
    <w:p w:rsidP="00c40dcd">
      <w:pPr>
        <w:pStyle w:val="Normal"/>
        <w:rPr>
          <w:sz w:val="28"/>
          <w:szCs w:val="28"/>
          <w:rFonts w:ascii="Times New Roman" w:hAnsi="Times New Roman"/>
        </w:rPr>
        <w:spacing w:after="0" w:line="240" w:lineRule="auto"/>
      </w:pPr>
      <w:r w:rsidR="009d4386" w:rsidRPr="002369c6">
        <w:rPr>
          <w:sz w:val="28"/>
          <w:szCs w:val="28"/>
          <w:rFonts w:ascii="Times New Roman" w:hAnsi="Times New Roman"/>
        </w:rPr>
      </w:r>
    </w:p>
    <w:p w:rsidP="00681cb4">
      <w:pPr>
        <w:pStyle w:val="BodyText"/>
        <w:rPr>
          <w:sz w:val="28"/>
          <w:szCs w:val="28"/>
        </w:rPr>
        <w:ind w:firstLine="708"/>
      </w:pPr>
      <w:r w:rsidR="00681cb4">
        <w:rPr>
          <w:sz w:val="28"/>
          <w:szCs w:val="28"/>
        </w:rPr>
        <w:t xml:space="preserve">1. </w:t>
      </w:r>
      <w:r w:rsidR="00681cb4" w:rsidRPr="00681cb4">
        <w:rPr>
          <w:sz w:val="28"/>
          <w:szCs w:val="28"/>
        </w:rPr>
        <w:t xml:space="preserve">Утвердить поручения Городской Думы Петропавловск-Камчатского городского округа Контрольно-счетной палате Петропавловск-Камчатского горо</w:t>
      </w:r>
      <w:r w:rsidR="00681cb4" w:rsidRPr="00681cb4">
        <w:rPr>
          <w:sz w:val="28"/>
          <w:szCs w:val="28"/>
        </w:rPr>
        <w:t xml:space="preserve">д</w:t>
      </w:r>
      <w:r w:rsidR="00681cb4" w:rsidRPr="00681cb4">
        <w:rPr>
          <w:sz w:val="28"/>
          <w:szCs w:val="28"/>
        </w:rPr>
        <w:t xml:space="preserve">ского округа на 201</w:t>
      </w:r>
      <w:r w:rsidR="00681cb4">
        <w:rPr>
          <w:sz w:val="28"/>
          <w:szCs w:val="28"/>
        </w:rPr>
        <w:t xml:space="preserve">4</w:t>
      </w:r>
      <w:r w:rsidR="00681cb4" w:rsidRPr="00681cb4">
        <w:rPr>
          <w:sz w:val="28"/>
          <w:szCs w:val="28"/>
        </w:rPr>
        <w:t xml:space="preserve"> год согласно приложению к настоящему решению.</w:t>
      </w:r>
    </w:p>
    <w:p w:rsidP="00ea36b7">
      <w:pPr>
        <w:pStyle w:val="BodyTextIndent"/>
        <w:rPr>
          <w:sz w:val="28"/>
          <w:szCs w:val="28"/>
          <w:rFonts w:ascii="Times New Roman" w:hAnsi="Times New Roman"/>
        </w:rPr>
        <w:ind w:firstLine="709" w:left="0"/>
        <w:spacing w:after="0" w:line="240" w:lineRule="auto"/>
        <w:jc w:val="both"/>
      </w:pPr>
      <w:r w:rsidR="00681cb4" w:rsidRPr="00681cb4">
        <w:rPr>
          <w:sz w:val="28"/>
          <w:szCs w:val="28"/>
          <w:rFonts w:ascii="Times New Roman" w:hAnsi="Times New Roman"/>
        </w:rPr>
        <w:t xml:space="preserve">2. Направить настоящее решение председателю Контрольно-счетной п</w:t>
      </w:r>
      <w:r w:rsidR="00681cb4" w:rsidRPr="00681cb4">
        <w:rPr>
          <w:sz w:val="28"/>
          <w:szCs w:val="28"/>
          <w:rFonts w:ascii="Times New Roman" w:hAnsi="Times New Roman"/>
        </w:rPr>
        <w:t xml:space="preserve">а</w:t>
      </w:r>
      <w:r w:rsidR="00681cb4" w:rsidRPr="00681cb4">
        <w:rPr>
          <w:sz w:val="28"/>
          <w:szCs w:val="28"/>
          <w:rFonts w:ascii="Times New Roman" w:hAnsi="Times New Roman"/>
        </w:rPr>
        <w:t xml:space="preserve">латы Петропавловск-Камчатского городского округа Новикову А.А. для включения в план раб</w:t>
      </w:r>
      <w:r w:rsidR="00681cb4" w:rsidRPr="00681cb4">
        <w:rPr>
          <w:sz w:val="28"/>
          <w:szCs w:val="28"/>
          <w:rFonts w:ascii="Times New Roman" w:hAnsi="Times New Roman"/>
        </w:rPr>
        <w:t xml:space="preserve">о</w:t>
      </w:r>
      <w:r w:rsidR="00681cb4" w:rsidRPr="00681cb4">
        <w:rPr>
          <w:sz w:val="28"/>
          <w:szCs w:val="28"/>
          <w:rFonts w:ascii="Times New Roman" w:hAnsi="Times New Roman"/>
        </w:rPr>
        <w:t xml:space="preserve">ты.</w:t>
      </w:r>
    </w:p>
    <w:p w:rsidP="00681cb4">
      <w:pPr>
        <w:pStyle w:val="Normal"/>
        <w:rPr>
          <w:sz w:val="28"/>
          <w:szCs w:val="28"/>
          <w:rFonts w:ascii="Times New Roman" w:hAnsi="Times New Roman"/>
        </w:rPr>
        <w:ind w:firstLine="709"/>
        <w:spacing w:after="0" w:line="240" w:lineRule="auto"/>
        <w:jc w:val="both"/>
      </w:pPr>
      <w:r w:rsidR="00681cb4" w:rsidRPr="00786dab">
        <w:rPr>
          <w:sz w:val="28"/>
          <w:szCs w:val="28"/>
          <w:rFonts w:ascii="Times New Roman" w:hAnsi="Times New Roman"/>
        </w:rPr>
        <w:t xml:space="preserve">3. </w:t>
      </w:r>
      <w:r w:rsidR="00681cb4" w:rsidRPr="00444bbe">
        <w:rPr>
          <w:sz w:val="28"/>
          <w:szCs w:val="28"/>
          <w:rFonts w:ascii="Times New Roman" w:hAnsi="Times New Roman"/>
        </w:rPr>
        <w:t xml:space="preserve">Контроль за </w:t>
      </w:r>
      <w:r w:rsidR="00681cb4">
        <w:rPr>
          <w:sz w:val="28"/>
          <w:szCs w:val="28"/>
          <w:rFonts w:ascii="Times New Roman" w:hAnsi="Times New Roman"/>
        </w:rPr>
        <w:t xml:space="preserve">исполнением настоящего решения</w:t>
      </w:r>
      <w:r w:rsidR="00681cb4" w:rsidRPr="00444bbe">
        <w:rPr>
          <w:sz w:val="28"/>
          <w:szCs w:val="28"/>
          <w:rFonts w:ascii="Times New Roman" w:hAnsi="Times New Roman"/>
        </w:rPr>
        <w:t xml:space="preserve"> возложить на Главу Петропавловск-Камчатского городского округа</w:t>
      </w:r>
      <w:r w:rsidR="00681cb4">
        <w:rPr>
          <w:sz w:val="28"/>
          <w:szCs w:val="28"/>
          <w:rFonts w:ascii="Times New Roman" w:hAnsi="Times New Roman"/>
        </w:rPr>
        <w:t xml:space="preserve">.</w:t>
      </w:r>
    </w:p>
    <w:p w:rsidP="001f1678">
      <w:pPr>
        <w:pStyle w:val="Normal"/>
        <w:rPr>
          <w:spacing w:val="-5"/>
          <w:sz w:val="28"/>
          <w:bCs/>
          <w:szCs w:val="28"/>
          <w:rFonts w:ascii="Times New Roman" w:hAnsi="Times New Roman"/>
          <w:color w:val="000000"/>
        </w:rPr>
        <w:shd w:color="auto" w:fill="ffffff" w:val="clear"/>
        <w:ind w:firstLine="706" w:left="7"/>
        <w:spacing w:after="0" w:line="240" w:lineRule="auto"/>
        <w:jc w:val="both"/>
      </w:pPr>
      <w:r w:rsidR="002369c6">
        <w:rPr>
          <w:spacing w:val="-5"/>
          <w:sz w:val="28"/>
          <w:bCs/>
          <w:szCs w:val="28"/>
          <w:rFonts w:ascii="Times New Roman" w:hAnsi="Times New Roman"/>
          <w:color w:val="000000"/>
        </w:rPr>
      </w:r>
    </w:p>
    <w:p w:rsidP="001f1678">
      <w:pPr>
        <w:pStyle w:val="Normal"/>
        <w:rPr>
          <w:spacing w:val="-5"/>
          <w:sz w:val="28"/>
          <w:bCs/>
          <w:szCs w:val="28"/>
          <w:rFonts w:ascii="Times New Roman" w:hAnsi="Times New Roman"/>
          <w:color w:val="000000"/>
        </w:rPr>
        <w:shd w:color="auto" w:fill="ffffff" w:val="clear"/>
        <w:ind w:firstLine="706" w:left="7"/>
        <w:spacing w:after="0" w:line="240" w:lineRule="auto"/>
        <w:jc w:val="both"/>
      </w:pPr>
      <w:r w:rsidR="009d0bd7">
        <w:rPr>
          <w:spacing w:val="-5"/>
          <w:sz w:val="28"/>
          <w:bCs/>
          <w:szCs w:val="28"/>
          <w:rFonts w:ascii="Times New Roman" w:hAnsi="Times New Roman"/>
          <w:color w:val="000000"/>
        </w:rPr>
      </w:r>
    </w:p>
    <w:tbl>
      <w:tblPr>
        <w:tblW w:type="dxa" w:w="10314"/>
        <w:tblLook w:val="01e0"/>
        <w:tblW w:type="dxa" w:w="10314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4853"/>
        <w:gridCol w:w="1799"/>
        <w:gridCol w:w="3662"/>
      </w:tblGrid>
      <w:tr>
        <w:trPr>
          <w:trHeight w:hRule="atLeast" w:val="1118"/>
          <w:wAfter w:type="dxa" w:w="0"/>
          <w:trHeight w:hRule="atLeast" w:val="1118"/>
          <w:wAfter w:type="dxa" w:w="0"/>
        </w:trPr>
        <w:tc>
          <w:tcPr>
            <w:textDirection w:val="lrTb"/>
            <w:vAlign w:val="top"/>
            <w:tcW w:type="dxa" w:w="4853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8145a0">
            <w:pPr>
              <w:pStyle w:val="Normal"/>
              <w:rPr>
                <w:sz w:val="28"/>
                <w:szCs w:val="28"/>
                <w:rFonts w:ascii="Times New Roman" w:hAnsi="Times New Roman"/>
              </w:rPr>
              <w:contextualSpacing/>
              <w:spacing w:after="0" w:line="240" w:lineRule="auto"/>
              <w:jc w:val="both"/>
            </w:pPr>
            <w:r w:rsidR="00904b29" w:rsidRPr="00904b29">
              <w:rPr>
                <w:sz w:val="28"/>
                <w:szCs w:val="28"/>
                <w:rFonts w:ascii="Times New Roman" w:hAnsi="Times New Roman"/>
              </w:rPr>
              <w:t xml:space="preserve">Глава Петропавловск-Камчатского городского округа, исполняющий полномочия председателя Городской Дум</w:t>
            </w:r>
            <w:r w:rsidR="00044451">
              <w:rPr>
                <w:sz w:val="28"/>
                <w:szCs w:val="28"/>
                <w:rFonts w:ascii="Times New Roman" w:hAnsi="Times New Roman"/>
              </w:rPr>
              <w:t xml:space="preserve">ы</w:t>
            </w:r>
            <w:r w:rsidR="00044451" w:rsidRPr="00904b29">
              <w:rPr>
                <w:sz w:val="28"/>
                <w:szCs w:val="28"/>
                <w:rFonts w:ascii="Times New Roman" w:hAnsi="Times New Roman"/>
              </w:rPr>
            </w:r>
          </w:p>
        </w:tc>
        <w:tc>
          <w:tcPr>
            <w:textDirection w:val="lrTb"/>
            <w:vAlign w:val="top"/>
            <w:tcW w:type="dxa" w:w="1799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8145a0">
            <w:pPr>
              <w:pStyle w:val="Normal"/>
              <w:rPr>
                <w:sz w:val="28"/>
                <w:szCs w:val="28"/>
                <w:rFonts w:ascii="Times New Roman" w:hAnsi="Times New Roman"/>
              </w:rPr>
              <w:contextualSpacing/>
              <w:spacing w:after="0" w:line="240" w:lineRule="auto"/>
            </w:pPr>
            <w:r w:rsidR="00904b29" w:rsidRPr="00904b29">
              <w:rPr>
                <w:sz w:val="28"/>
                <w:szCs w:val="28"/>
                <w:rFonts w:ascii="Times New Roman" w:hAnsi="Times New Roman"/>
              </w:rPr>
            </w:r>
          </w:p>
          <w:p w:rsidP="008145a0">
            <w:pPr>
              <w:pStyle w:val="Normal"/>
              <w:rPr>
                <w:sz w:val="28"/>
                <w:szCs w:val="28"/>
                <w:rFonts w:ascii="Times New Roman" w:hAnsi="Times New Roman"/>
              </w:rPr>
              <w:contextualSpacing/>
              <w:spacing w:after="0" w:line="240" w:lineRule="auto"/>
            </w:pPr>
            <w:r w:rsidR="00904b29" w:rsidRPr="00904b29">
              <w:rPr>
                <w:sz w:val="28"/>
                <w:szCs w:val="28"/>
                <w:rFonts w:ascii="Times New Roman" w:hAnsi="Times New Roman"/>
              </w:rPr>
            </w:r>
          </w:p>
        </w:tc>
        <w:tc>
          <w:tcPr>
            <w:textDirection w:val="lrTb"/>
            <w:vAlign w:val="top"/>
            <w:tcW w:type="dxa" w:w="3662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8145a0">
            <w:pPr>
              <w:pStyle w:val="Normal"/>
              <w:rPr>
                <w:sz w:val="28"/>
                <w:szCs w:val="28"/>
                <w:rFonts w:ascii="Times New Roman" w:hAnsi="Times New Roman"/>
              </w:rPr>
              <w:contextualSpacing/>
              <w:ind w:right="-108"/>
              <w:spacing w:after="0" w:line="240" w:lineRule="auto"/>
              <w:jc w:val="right"/>
            </w:pPr>
            <w:r w:rsidR="008145a0">
              <w:rPr>
                <w:sz w:val="28"/>
                <w:szCs w:val="28"/>
                <w:rFonts w:ascii="Times New Roman" w:hAnsi="Times New Roman"/>
              </w:rPr>
            </w:r>
          </w:p>
          <w:p w:rsidP="008145a0">
            <w:pPr>
              <w:pStyle w:val="Normal"/>
              <w:rPr>
                <w:sz w:val="28"/>
                <w:szCs w:val="28"/>
                <w:rFonts w:ascii="Times New Roman" w:hAnsi="Times New Roman"/>
              </w:rPr>
              <w:contextualSpacing/>
              <w:ind w:right="-108"/>
              <w:spacing w:after="0" w:line="240" w:lineRule="auto"/>
              <w:jc w:val="right"/>
            </w:pPr>
            <w:r w:rsidR="00c15a1d">
              <w:rPr>
                <w:sz w:val="28"/>
                <w:szCs w:val="28"/>
                <w:rFonts w:ascii="Times New Roman" w:hAnsi="Times New Roman"/>
              </w:rPr>
            </w:r>
          </w:p>
          <w:p w:rsidP="008145a0">
            <w:pPr>
              <w:pStyle w:val="Normal"/>
              <w:rPr>
                <w:sz w:val="28"/>
                <w:szCs w:val="28"/>
                <w:rFonts w:ascii="Times New Roman" w:hAnsi="Times New Roman"/>
              </w:rPr>
              <w:contextualSpacing/>
              <w:ind w:right="-108"/>
              <w:spacing w:after="0" w:line="240" w:lineRule="auto"/>
              <w:jc w:val="right"/>
            </w:pPr>
            <w:r w:rsidR="00904b29" w:rsidRPr="00904b29">
              <w:rPr>
                <w:sz w:val="28"/>
                <w:szCs w:val="28"/>
                <w:rFonts w:ascii="Times New Roman" w:hAnsi="Times New Roman"/>
              </w:rPr>
              <w:t xml:space="preserve"> </w:t>
            </w:r>
            <w:r w:rsidR="008145a0">
              <w:rPr>
                <w:sz w:val="28"/>
                <w:szCs w:val="28"/>
                <w:rFonts w:ascii="Times New Roman" w:hAnsi="Times New Roman"/>
              </w:rPr>
            </w:r>
          </w:p>
          <w:p w:rsidP="008145a0">
            <w:pPr>
              <w:pStyle w:val="Normal"/>
              <w:rPr>
                <w:sz w:val="28"/>
                <w:szCs w:val="28"/>
                <w:rFonts w:ascii="Times New Roman" w:hAnsi="Times New Roman"/>
              </w:rPr>
              <w:contextualSpacing/>
              <w:ind w:right="-108"/>
              <w:spacing w:after="0" w:line="240" w:lineRule="auto"/>
              <w:jc w:val="right"/>
            </w:pPr>
            <w:r w:rsidR="00904b29" w:rsidRPr="00904b29">
              <w:rPr>
                <w:sz w:val="28"/>
                <w:szCs w:val="28"/>
                <w:rFonts w:ascii="Times New Roman" w:hAnsi="Times New Roman"/>
              </w:rPr>
              <w:t xml:space="preserve">  К.Г. Слыщенко</w:t>
            </w:r>
          </w:p>
        </w:tc>
      </w:tr>
    </w:tbl>
    <w:p w:rsidP="00681cb4">
      <w:pPr>
        <w:pStyle w:val="Normal"/>
        <w:rPr>
          <w:sz w:val="24"/>
          <w:szCs w:val="24"/>
          <w:rFonts w:ascii="Times New Roman" w:hAnsi="Times New Roman"/>
        </w:rPr>
        <w:pageBreakBefore/>
        <w:outlineLvl w:val="0"/>
        <w:spacing w:after="0" w:line="240" w:lineRule="auto"/>
        <w:jc w:val="right"/>
      </w:pPr>
      <w:r w:rsidR="00681cb4" w:rsidRPr="004f2860">
        <w:rPr>
          <w:sz w:val="24"/>
          <w:szCs w:val="24"/>
          <w:rFonts w:ascii="Times New Roman" w:hAnsi="Times New Roman"/>
        </w:rPr>
        <w:t xml:space="preserve">Приложение</w:t>
      </w:r>
    </w:p>
    <w:p w:rsidP="00681cb4">
      <w:pPr>
        <w:pStyle w:val="Normal"/>
        <w:rPr>
          <w:sz w:val="24"/>
          <w:szCs w:val="24"/>
          <w:rFonts w:ascii="Times New Roman" w:hAnsi="Times New Roman"/>
        </w:rPr>
        <w:spacing w:after="0" w:line="240" w:lineRule="auto"/>
        <w:jc w:val="right"/>
      </w:pPr>
      <w:r w:rsidR="00681cb4" w:rsidRPr="004f2860">
        <w:rPr>
          <w:sz w:val="24"/>
          <w:szCs w:val="24"/>
          <w:rFonts w:ascii="Times New Roman" w:hAnsi="Times New Roman"/>
        </w:rPr>
        <w:t xml:space="preserve">к решению Городской Думы</w:t>
      </w:r>
    </w:p>
    <w:p w:rsidP="00681cb4">
      <w:pPr>
        <w:pStyle w:val="Normal"/>
        <w:rPr>
          <w:sz w:val="24"/>
          <w:szCs w:val="24"/>
          <w:rFonts w:ascii="Times New Roman" w:hAnsi="Times New Roman"/>
        </w:rPr>
        <w:spacing w:after="0" w:line="240" w:lineRule="auto"/>
        <w:jc w:val="right"/>
      </w:pPr>
      <w:r w:rsidR="00681cb4" w:rsidRPr="004f2860">
        <w:rPr>
          <w:sz w:val="24"/>
          <w:szCs w:val="24"/>
          <w:rFonts w:ascii="Times New Roman" w:hAnsi="Times New Roman"/>
        </w:rPr>
        <w:t xml:space="preserve">Петропавловск-Камчатского</w:t>
      </w:r>
    </w:p>
    <w:p w:rsidP="00681cb4">
      <w:pPr>
        <w:pStyle w:val="Normal"/>
        <w:rPr>
          <w:sz w:val="24"/>
          <w:szCs w:val="24"/>
          <w:rFonts w:ascii="Times New Roman" w:hAnsi="Times New Roman"/>
        </w:rPr>
        <w:spacing w:after="0" w:line="240" w:lineRule="auto"/>
        <w:jc w:val="right"/>
      </w:pPr>
      <w:r w:rsidR="00681cb4" w:rsidRPr="004f2860">
        <w:rPr>
          <w:sz w:val="24"/>
          <w:szCs w:val="24"/>
          <w:rFonts w:ascii="Times New Roman" w:hAnsi="Times New Roman"/>
        </w:rPr>
        <w:t xml:space="preserve">городского округа</w:t>
      </w:r>
    </w:p>
    <w:p w:rsidP="00681cb4">
      <w:pPr>
        <w:pStyle w:val="BodyText"/>
        <w:jc w:val="right"/>
      </w:pPr>
      <w:r w:rsidR="00681cb4" w:rsidRPr="004f2860">
        <w:t xml:space="preserve">от </w:t>
      </w:r>
      <w:r w:rsidR="00ea36b7">
        <w:t xml:space="preserve">26.02.2014 </w:t>
      </w:r>
      <w:r w:rsidR="00681cb4" w:rsidRPr="004f2860">
        <w:t xml:space="preserve">№ </w:t>
      </w:r>
      <w:r w:rsidR="00ea36b7">
        <w:t xml:space="preserve">44</w:t>
      </w:r>
      <w:r w:rsidR="003e6231">
        <w:t xml:space="preserve">7</w:t>
      </w:r>
      <w:r w:rsidR="00681cb4">
        <w:t xml:space="preserve">-р</w:t>
      </w:r>
    </w:p>
    <w:p w:rsidP="00681cb4">
      <w:pPr>
        <w:pStyle w:val="BodyText"/>
        <w:jc w:val="right"/>
      </w:pPr>
      <w:r w:rsidR="009d0bd7" w:rsidRPr="004f2860"/>
    </w:p>
    <w:p w:rsidP="00681cb4">
      <w:pPr>
        <w:pStyle w:val="BodyText"/>
        <w:rPr>
          <w:b/>
          <w:sz w:val="28"/>
          <w:szCs w:val="28"/>
        </w:rPr>
        <w:jc w:val="center"/>
      </w:pPr>
      <w:r w:rsidR="00681cb4" w:rsidRPr="00681cb4">
        <w:rPr>
          <w:b/>
          <w:sz w:val="28"/>
          <w:szCs w:val="28"/>
        </w:rPr>
        <w:t xml:space="preserve">Поручения Городской Думы </w:t>
      </w:r>
    </w:p>
    <w:p w:rsidP="00681cb4">
      <w:pPr>
        <w:pStyle w:val="BodyText"/>
        <w:rPr>
          <w:b/>
          <w:sz w:val="28"/>
          <w:szCs w:val="28"/>
        </w:rPr>
        <w:jc w:val="center"/>
      </w:pPr>
      <w:r w:rsidR="00681cb4" w:rsidRPr="00681cb4">
        <w:rPr>
          <w:b/>
          <w:sz w:val="28"/>
          <w:szCs w:val="28"/>
        </w:rPr>
        <w:t xml:space="preserve">Петропавловск-Камчатского городского округа </w:t>
      </w:r>
    </w:p>
    <w:p w:rsidP="00681cb4">
      <w:pPr>
        <w:pStyle w:val="BodyText"/>
        <w:rPr>
          <w:b/>
          <w:sz w:val="28"/>
          <w:szCs w:val="28"/>
        </w:rPr>
        <w:jc w:val="center"/>
      </w:pPr>
      <w:r w:rsidR="00681cb4" w:rsidRPr="00681cb4">
        <w:rPr>
          <w:b/>
          <w:sz w:val="28"/>
          <w:szCs w:val="28"/>
        </w:rPr>
        <w:t xml:space="preserve">Контрольно-счетной палате Петропавловск-Камчатского </w:t>
      </w:r>
    </w:p>
    <w:p w:rsidP="00681cb4">
      <w:pPr>
        <w:pStyle w:val="BodyText"/>
        <w:rPr>
          <w:b/>
          <w:sz w:val="28"/>
          <w:szCs w:val="28"/>
        </w:rPr>
        <w:jc w:val="center"/>
      </w:pPr>
      <w:r w:rsidR="00681cb4" w:rsidRPr="00681cb4">
        <w:rPr>
          <w:b/>
          <w:sz w:val="28"/>
          <w:szCs w:val="28"/>
        </w:rPr>
        <w:t xml:space="preserve">городского округа на 201</w:t>
      </w:r>
      <w:r w:rsidR="00681cb4">
        <w:rPr>
          <w:b/>
          <w:sz w:val="28"/>
          <w:szCs w:val="28"/>
        </w:rPr>
        <w:t xml:space="preserve">4</w:t>
      </w:r>
      <w:r w:rsidR="00681cb4" w:rsidRPr="00681cb4">
        <w:rPr>
          <w:b/>
          <w:sz w:val="28"/>
          <w:szCs w:val="28"/>
        </w:rPr>
        <w:t xml:space="preserve"> год</w:t>
      </w:r>
      <w:r w:rsidR="00681cb4">
        <w:rPr>
          <w:b/>
          <w:sz w:val="28"/>
          <w:szCs w:val="28"/>
        </w:rPr>
      </w:r>
    </w:p>
    <w:p w:rsidP="00681cb4">
      <w:pPr>
        <w:pStyle w:val="BodyText"/>
        <w:rPr>
          <w:b/>
          <w:sz w:val="28"/>
          <w:szCs w:val="28"/>
        </w:rPr>
        <w:jc w:val="center"/>
      </w:pPr>
      <w:r w:rsidR="00cf19b8" w:rsidRPr="00681cb4">
        <w:rPr>
          <w:b/>
          <w:sz w:val="28"/>
          <w:szCs w:val="28"/>
        </w:rPr>
      </w:r>
    </w:p>
    <w:p w:rsidP="00cf19b8">
      <w:pPr>
        <w:pStyle w:val="Normal"/>
        <w:rPr>
          <w:sz w:val="28"/>
          <w:szCs w:val="28"/>
          <w:rFonts w:ascii="Times New Roman" w:hAnsi="Times New Roman"/>
        </w:rPr>
        <w:ind w:firstLine="709" w:right="57"/>
        <w:spacing w:after="0" w:line="240" w:lineRule="auto"/>
        <w:jc w:val="both"/>
      </w:pPr>
      <w:r w:rsidR="00681cb4" w:rsidRPr="00cf19b8">
        <w:rPr>
          <w:sz w:val="28"/>
          <w:szCs w:val="28"/>
          <w:rFonts w:ascii="Times New Roman" w:hAnsi="Times New Roman"/>
        </w:rPr>
        <w:t xml:space="preserve">1. Проверка полноты и своевременности перечисления части прибыли </w:t>
      </w:r>
      <w:r w:rsidR="00ea36b7">
        <w:rPr>
          <w:sz w:val="28"/>
          <w:szCs w:val="28"/>
          <w:rFonts w:ascii="Times New Roman" w:hAnsi="Times New Roman"/>
        </w:rPr>
        <w:t xml:space="preserve">          </w:t>
      </w:r>
      <w:r w:rsidR="00681cb4" w:rsidRPr="00cf19b8">
        <w:rPr>
          <w:sz w:val="28"/>
          <w:szCs w:val="28"/>
          <w:rFonts w:ascii="Times New Roman" w:hAnsi="Times New Roman"/>
        </w:rPr>
        <w:t xml:space="preserve">от использования имущества, находящегося в хозяйственном ведении муниципальных предприятий в 2013 году.</w:t>
      </w:r>
    </w:p>
    <w:p w:rsidP="00cf19b8">
      <w:pPr>
        <w:pStyle w:val="Normal"/>
        <w:rPr>
          <w:sz w:val="28"/>
          <w:szCs w:val="28"/>
          <w:rFonts w:ascii="Times New Roman" w:hAnsi="Times New Roman"/>
        </w:rPr>
        <w:ind w:firstLine="709" w:right="57"/>
        <w:spacing w:after="0" w:line="240" w:lineRule="auto"/>
        <w:jc w:val="both"/>
      </w:pPr>
      <w:r w:rsidR="00681cb4" w:rsidRPr="00cf19b8">
        <w:rPr>
          <w:sz w:val="28"/>
          <w:szCs w:val="28"/>
          <w:rFonts w:ascii="Times New Roman" w:hAnsi="Times New Roman"/>
        </w:rPr>
        <w:t xml:space="preserve">2. Проверка целевого и эффективного использования бюджетных средств, выделенных в 2013 году на реализацию муниципальной долгосрочной целевой программы «Комплексное благоустройство Петропавловск-Камчатского городского округа на 2013-2016 годы» (выборочно).</w:t>
      </w:r>
    </w:p>
    <w:p w:rsidP="00662315">
      <w:pPr>
        <w:pStyle w:val="BodyText"/>
        <w:rPr>
          <w:sz w:val="28"/>
          <w:szCs w:val="28"/>
        </w:rPr>
        <w:tabs>
          <w:tab w:leader="none" w:pos="15026" w:val="left"/>
        </w:tabs>
        <w:ind w:right="111"/>
      </w:pPr>
      <w:r w:rsidR="00c15a1d" w:rsidRPr="00681cb4">
        <w:rPr>
          <w:sz w:val="28"/>
          <w:szCs w:val="28"/>
        </w:rPr>
      </w:r>
    </w:p>
    <w:sectPr>
      <w:type w:val="nextPage"/>
      <w:pgSz w:h="16838" w:w="11906"/>
      <w:pgMar w:bottom="567" w:footer="709" w:gutter="0" w:header="709" w:left="1134" w:right="567" w:top="567"/>
      <w:cols w:space="708"/>
      <w:docGrid w:linePitch="360"/>
    </w:sectPr>
  </w:body>
</w:document>
</file>

<file path=word/fontTable.xml><?xml version="1.0" encoding="utf-8"?>
<w:fonts xmlns:w="http://schemas.openxmlformats.org/wordprocessingml/2006/main">
  <w:font w:name="Times New Roman">
    <w:charset w:val="cc"/>
    <w:family w:val="roman"/>
    <w:panose1 w:val="02020603050405020304"/>
    <w:pitch w:val="variable"/>
    <w:sig w:usb0="20002a87" w:usb1="80000000" w:usb2="00000008" w:usb3="00000000" w:csb0="000001ff" w:csb1="00000000"/>
  </w:font>
  <w:font w:name="Symbol">
    <w:charset w:val="02"/>
    <w:family w:val="roman"/>
    <w:panose1 w:val="05050102010706020507"/>
    <w:pitch w:val="variable"/>
    <w:sig w:usb0="00000000" w:usb1="10000000" w:usb2="00000000" w:usb3="00000000" w:csb0="80000000" w:csb1="00000000"/>
  </w:font>
  <w:font w:name="Arial">
    <w:charset w:val="cc"/>
    <w:family w:val="swiss"/>
    <w:panose1 w:val="020b0604020202020204"/>
    <w:pitch w:val="variable"/>
    <w:sig w:usb0="20002a87" w:usb1="80000000" w:usb2="00000008" w:usb3="00000000" w:csb0="000001ff" w:csb1="00000000"/>
  </w:font>
  <w:font w:name="Bookman Old Style">
    <w:charset w:val="cc"/>
    <w:family w:val="roman"/>
    <w:panose1 w:val="02050604050505020204"/>
    <w:pitch w:val="variable"/>
    <w:sig w:usb0="00000287" w:usb1="00000000" w:usb2="00000000" w:usb3="00000000" w:csb0="0000009f" w:csb1="00000000"/>
  </w:font>
  <w:font w:name="Calibri">
    <w:charset w:val="cc"/>
    <w:family w:val="swiss"/>
    <w:panose1 w:val="020f0502020204030204"/>
    <w:pitch w:val="variable"/>
    <w:sig w:usb0="e10002ff" w:usb1="4000acff" w:usb2="00000009" w:usb3="00000000" w:csb0="0000019f" w:csb1="00000000"/>
  </w:font>
  <w:font w:name="Tahoma">
    <w:charset w:val="cc"/>
    <w:family w:val="swiss"/>
    <w:panose1 w:val="020b0604030504040204"/>
    <w:pitch w:val="variable"/>
    <w:sig w:usb0="61002a87" w:usb1="80000000" w:usb2="00000008" w:usb3="00000000" w:csb0="000101ff" w:csb1="00000000"/>
  </w:font>
  <w:font w:name="Cambria Math">
    <w:charset w:val="cc"/>
    <w:family w:val="roman"/>
    <w:panose1 w:val="02040503050406030204"/>
    <w:pitch w:val="variable"/>
    <w:sig w:usb0="e00002ff" w:usb1="420024ff" w:usb2="00000000" w:usb3="00000000" w:csb0="0000019f" w:csb1="00000000"/>
  </w:font>
</w:fonts>
</file>

<file path=word/numbering.xml><?xml version="1.0" encoding="utf-8"?>
<w:numbering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abstractNum w:abstractNumId="0">
    <w:nsid w:val="26b51667"/>
    <w:multiLevelType w:val="hybridMultilevel"/>
    <w:tmpl w:val="23f49090"/>
    <w:lvl w:ilvl="0">
      <w:start w:val="1"/>
      <w:numFmt w:val="decimal"/>
      <w:suff w:val="tab"/>
      <w:lvlText w:val="%1."/>
      <w:lvlJc w:val="left"/>
      <w:pPr>
        <w:pStyle w:val="Normal"/>
        <w:ind w:hanging="360" w:left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080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1800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2520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240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3960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4680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5400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120"/>
      </w:pPr>
    </w:lvl>
  </w:abstractNum>
  <w:abstractNum w:abstractNumId="1">
    <w:nsid w:val="36c679fa"/>
    <w:multiLevelType w:val="hybridMultilevel"/>
    <w:tmpl w:val="9b185568"/>
    <w:lvl w:ilvl="0">
      <w:start w:val="8"/>
      <w:numFmt w:val="decimal"/>
      <w:suff w:val="tab"/>
      <w:lvlText w:val="%1)"/>
      <w:lvlJc w:val="left"/>
      <w:pPr>
        <w:pStyle w:val="Normal"/>
        <w:ind w:hanging="360" w:left="1068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8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8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8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8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8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8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8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8"/>
      </w:pPr>
    </w:lvl>
  </w:abstractNum>
  <w:abstractNum w:abstractNumId="2">
    <w:nsid w:val="3cbf35fa"/>
    <w:multiLevelType w:val="hybridMultilevel"/>
    <w:tmpl w:val="c9d454a4"/>
    <w:lvl w:ilvl="0">
      <w:start w:val="1"/>
      <w:numFmt w:val="decimal"/>
      <w:suff w:val="tab"/>
      <w:lvlText w:val="%1."/>
      <w:lvlJc w:val="left"/>
      <w:pPr>
        <w:pStyle w:val="Normal"/>
        <w:ind w:hanging="360" w:left="1073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93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13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33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53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73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93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13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33"/>
      </w:pPr>
    </w:lvl>
  </w:abstractNum>
  <w:abstractNum w:abstractNumId="3">
    <w:nsid w:val="79db0a59"/>
    <w:multiLevelType w:val="hybridMultilevel"/>
    <w:tmpl w:val="d3308398"/>
    <w:lvl w:ilvl="0">
      <w:start w:val="4"/>
      <w:numFmt w:val="decimal"/>
      <w:suff w:val="tab"/>
      <w:lvlText w:val="%1)"/>
      <w:lvlJc w:val="left"/>
      <w:pPr>
        <w:pStyle w:val="Normal"/>
        <w:ind w:hanging="360" w:left="1068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8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8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8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8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8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8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8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8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w="http://schemas.openxmlformats.org/wordprocessingml/2006/main">
  <w:zoom w:percent="100"/>
  <w:stylePaneFormatFilter w:val="5024"/>
  <w:defaultTabStop w:val="708"/>
  <w:displayHorizontalDrawingGridEvery w:val="1"/>
  <w:displayVerticalDrawingGridEvery w:val="1"/>
  <w:footnotePr w:numStart="1" w:pos="docEnd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spaceForUL/>
  </w:compat>
  <w:rsids>
    <w:rsid w:val="00044451"/>
    <w:rsid w:val="001f1678"/>
    <w:rsid w:val="002369c6"/>
    <w:rsid w:val="002a1b02"/>
    <w:rsid w:val="002f63bd"/>
    <w:rsid w:val="003c5041"/>
    <w:rsid w:val="003e6231"/>
    <w:rsid w:val="00444bbe"/>
    <w:rsid w:val="004f2860"/>
    <w:rsid w:val="005912af"/>
    <w:rsid w:val="00662315"/>
    <w:rsid w:val="00681cb4"/>
    <w:rsid w:val="00786dab"/>
    <w:rsid w:val="007906bd"/>
    <w:rsid w:val="007c3ad0"/>
    <w:rsid w:val="008145a0"/>
    <w:rsid w:val="008428f2"/>
    <w:rsid w:val="0086162a"/>
    <w:rsid w:val="008f6cda"/>
    <w:rsid w:val="00904b29"/>
    <w:rsid w:val="00981668"/>
    <w:rsid w:val="009d0bd7"/>
    <w:rsid w:val="009d4386"/>
    <w:rsid w:val="00b20279"/>
    <w:rsid w:val="00c15a1d"/>
    <w:rsid w:val="00c40dcd"/>
    <w:rsid w:val="00cd50e2"/>
    <w:rsid w:val="00cf19b8"/>
    <w:rsid w:val="00de2377"/>
    <w:rsid w:val="00e247d2"/>
    <w:rsid w:val="00e80839"/>
    <w:rsid w:val="00ea36b7"/>
    <w:rsid w:val="00f30375"/>
    <w:rsid w:val="00fe23f5"/>
  </w:rsids>
</w:settings>
</file>

<file path=word/styles.xml><?xml version="1.0" encoding="utf-8"?>
<w:styles xmlns:w="http://schemas.openxmlformats.org/wordprocessingml/2006/main">
  <w:docDefaults>
    <w:rPrDefault>
      <w:rPr>
        <w:rFonts w:ascii="Calibri" w:eastAsia="Calibri" w:hAnsi="Calibri" w:cs="Times New Roman"/>
      </w:rPr>
    </w:rPrDefault>
    <w:pPrDefault/>
  </w:docDefaults>
  <w:style w:type="paragraph" w:styleId="Normal">
    <w:name w:val="Normal"/>
    <w:next w:val="Normal"/>
    <w:link w:val="Normal"/>
    <w:pPr>
      <w:spacing w:after="200" w:line="276" w:lineRule="auto"/>
    </w:pPr>
    <w:rPr>
      <w:sz w:val="22"/>
      <w:szCs w:val="22"/>
      <w:lang w:bidi="ar-SA" w:eastAsia="ru-RU" w:val="ru-RU"/>
      <w:rFonts w:eastAsia="Times New Roman"/>
    </w:rPr>
  </w:style>
  <w:style w:type="character" w:styleId="NormalCharacter">
    <w:name w:val="NormalCharacter"/>
    <w:next w:val="NormalCharacter"/>
    <w:link w:val="Normal"/>
    <w:semiHidden/>
  </w:style>
  <w:style w:type="table" w:styleId="TableNormal">
    <w:name w:val="TableNormal"/>
    <w:next w:val="TableNormal"/>
    <w:link w:val="Normal"/>
    <w:semiHidden/>
    <w:tblPr>
      <w:tblLayout w:type="fixed"/>
      <w:tblCellMar>
        <w:top w:type="dxa" w:w="0"/>
        <w:bottom w:type="dxa" w:w="0"/>
        <w:left w:type="dxa" w:w="108"/>
        <w:right w:type="dxa" w:w="108"/>
      </w:tblCellMar>
    </w:tblPr>
    <w:tblGrid/>
  </w:style>
  <w:style w:type="numbering" w:styleId="NormalList">
    <w:name w:val="NormalList"/>
    <w:next w:val="NormalList"/>
    <w:link w:val="Normal"/>
    <w:semiHidden/>
  </w:style>
  <w:style w:type="paragraph" w:styleId="BodyText">
    <w:name w:val="BodyText"/>
    <w:basedOn w:val="Normal"/>
    <w:next w:val="BodyText"/>
    <w:link w:val="StGen5"/>
    <w:pPr>
      <w:spacing w:after="0" w:line="240" w:lineRule="auto"/>
      <w:jc w:val="both"/>
    </w:pPr>
    <w:rPr>
      <w:sz w:val="24"/>
      <w:szCs w:val="24"/>
      <w:rFonts w:ascii="Times New Roman" w:hAnsi="Times New Roman"/>
    </w:rPr>
  </w:style>
  <w:style w:type="character" w:styleId="StGen5">
    <w:name w:val="StGen5"/>
    <w:next w:val="StGen5"/>
    <w:link w:val="BodyText"/>
    <w:rPr>
      <w:sz w:val="24"/>
      <w:szCs w:val="24"/>
      <w:lang w:eastAsia="ru-RU"/>
      <w:rFonts w:ascii="Times New Roman" w:eastAsia="Times New Roman" w:hAnsi="Times New Roman"/>
    </w:rPr>
  </w:style>
  <w:style w:type="paragraph" w:styleId="179">
    <w:name w:val="179"/>
    <w:basedOn w:val="Normal"/>
    <w:next w:val="179"/>
    <w:link w:val="Normal"/>
    <w:pPr>
      <w:contextualSpacing/>
      <w:ind w:left="720"/>
    </w:pPr>
  </w:style>
  <w:style w:type="paragraph" w:styleId="Acetate">
    <w:name w:val="Acetate"/>
    <w:basedOn w:val="Normal"/>
    <w:next w:val="Acetate"/>
    <w:link w:val="StGen7"/>
    <w:semiHidden/>
    <w:pPr>
      <w:spacing w:after="0" w:line="240" w:lineRule="auto"/>
    </w:pPr>
    <w:rPr>
      <w:sz w:val="16"/>
      <w:szCs w:val="16"/>
      <w:rFonts w:ascii="Tahoma" w:hAnsi="Tahoma"/>
    </w:rPr>
  </w:style>
  <w:style w:type="character" w:styleId="StGen7">
    <w:name w:val="StGen7"/>
    <w:next w:val="StGen7"/>
    <w:link w:val="Acetate"/>
    <w:semiHidden/>
    <w:rPr>
      <w:sz w:val="16"/>
      <w:szCs w:val="16"/>
      <w:lang w:eastAsia="ru-RU"/>
      <w:rFonts w:ascii="Tahoma" w:eastAsia="Times New Roman" w:hAnsi="Tahoma"/>
    </w:rPr>
  </w:style>
  <w:style w:type="paragraph" w:styleId="Header">
    <w:name w:val="Header"/>
    <w:basedOn w:val="Normal"/>
    <w:next w:val="Header"/>
    <w:link w:val="StGen17"/>
    <w:semiHidden/>
    <w:pPr>
      <w:tabs>
        <w:tab w:leader="none" w:pos="4677" w:val="center"/>
        <w:tab w:leader="none" w:pos="9355" w:val="right"/>
      </w:tabs>
    </w:pPr>
  </w:style>
  <w:style w:type="character" w:styleId="StGen17">
    <w:name w:val="StGen17"/>
    <w:next w:val="StGen17"/>
    <w:link w:val="Header"/>
    <w:semiHidden/>
    <w:rPr>
      <w:sz w:val="22"/>
      <w:szCs w:val="22"/>
      <w:rFonts w:eastAsia="Times New Roman"/>
    </w:rPr>
  </w:style>
  <w:style w:type="paragraph" w:styleId="Footer">
    <w:name w:val="Footer"/>
    <w:basedOn w:val="Normal"/>
    <w:next w:val="Footer"/>
    <w:link w:val="StGen21"/>
    <w:semiHidden/>
    <w:pPr>
      <w:tabs>
        <w:tab w:leader="none" w:pos="4677" w:val="center"/>
        <w:tab w:leader="none" w:pos="9355" w:val="right"/>
      </w:tabs>
    </w:pPr>
  </w:style>
  <w:style w:type="character" w:styleId="StGen21">
    <w:name w:val="StGen21"/>
    <w:next w:val="StGen21"/>
    <w:link w:val="Footer"/>
    <w:semiHidden/>
    <w:rPr>
      <w:sz w:val="22"/>
      <w:szCs w:val="22"/>
      <w:rFonts w:eastAsia="Times New Roman"/>
    </w:rPr>
  </w:style>
  <w:style w:type="paragraph" w:styleId="BodyTextIndent">
    <w:name w:val="BodyTextIndent"/>
    <w:basedOn w:val="Normal"/>
    <w:next w:val="BodyTextIndent"/>
    <w:link w:val="StGen28"/>
    <w:semiHidden/>
    <w:pPr>
      <w:ind w:left="283"/>
      <w:spacing w:after="120"/>
    </w:pPr>
  </w:style>
  <w:style w:type="character" w:styleId="StGen28">
    <w:name w:val="StGen28"/>
    <w:next w:val="StGen28"/>
    <w:link w:val="BodyTextIndent"/>
    <w:semiHidden/>
    <w:rPr>
      <w:sz w:val="22"/>
      <w:szCs w:val="22"/>
      <w:rFonts w:eastAsia="Times New Roman"/>
    </w:rPr>
  </w:style>
</w:styles>
</file>

<file path=word/_rels/document.xml.rels><?xml version="1.0" encoding="UTF-8"?><Relationships xmlns="http://schemas.openxmlformats.org/package/2006/relationships"><Relationship Id="rId2" Type="http://schemas.openxmlformats.org/officeDocument/2006/relationships/numbering" Target="numbering.xml" /><Relationship Id="rId3" Type="http://schemas.openxmlformats.org/officeDocument/2006/relationships/image" Target="media/image1.png" /><Relationship Id="rId4" Type="http://schemas.openxmlformats.org/officeDocument/2006/relationships/styles" Target="styles.xml" /><Relationship Id="rId5" Type="http://schemas.openxmlformats.org/officeDocument/2006/relationships/fontTable" Target="fontTable.xml" /><Relationship Id="rId6" Type="http://schemas.openxmlformats.org/officeDocument/2006/relationships/settings" Target="settings.xml" /></Relationships>
</file>