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1" w:rightFromText="181" w:tblpY="-1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744a2">
            <w:pPr>
              <w:pStyle w:val="Normal"/>
              <w:rPr>
                <w:u w:val="single"/>
                <w:sz w:val="30"/>
                <w:szCs w:val="30"/>
                <w:rFonts w:ascii="Bookman Old Style" w:eastAsia="Times New Roman" w:hAnsi="Bookman Old Style"/>
                <w:color w:val="ff0000"/>
              </w:rPr>
              <w:widowControl w:val="off"/>
              <w:autoSpaceDE w:val="off"/>
              <w:autoSpaceDN w:val="off"/>
              <w:framePr w:hAnchor="margin" w:hSpace="181" w:vAnchor="text" w:wrap="around" w:y="-10"/>
              <w:spacing w:after="0" w:before="120" w:line="240" w:lineRule="auto"/>
              <w:jc w:val="center"/>
            </w:pPr>
            <w:r w:rsidR="005744a2">
              <w:rPr>
                <w:noProof/>
                <w:color w:val="ff0000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5pt;height:78pt;" id="{AB193E41-6657-413B-9CD5-548FC2F3868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744a2">
              <w:rPr>
                <w:u w:val="single"/>
                <w:sz w:val="30"/>
                <w:szCs w:val="30"/>
                <w:rFonts w:ascii="Bookman Old Style" w:eastAsia="Times New Roman" w:hAnsi="Bookman Old Style"/>
                <w:color w:val="ff0000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744a2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0"/>
              <w:spacing w:after="0" w:line="240" w:lineRule="auto"/>
              <w:jc w:val="center"/>
            </w:pPr>
            <w:r w:rsidR="005744a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5744a2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744a2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0"/>
              <w:spacing w:after="0" w:line="240" w:lineRule="auto"/>
              <w:jc w:val="center"/>
            </w:pPr>
            <w:r w:rsidR="005744a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  <w:r w:rsidR="005744a2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744a2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0"/>
              <w:ind w:right="176"/>
              <w:spacing w:after="0" w:line="240" w:lineRule="auto"/>
            </w:pPr>
            <w:r w:rsidR="005744a2">
              <w:rPr>
                <w:rFonts w:eastAsia="Times New Roman"/>
              </w:rPr>
              <w:pict>
                <v:line id="_x0000_s1027" type="#_x0000_t20" style="position:absolute;mso-position-vertical-relative:page;" from="-0.10000000000000001pt,11.199999999999999pt" to="511.80000000000001pt,11.199999999999999pt" strokeweight="63500">
                  <v:stroke linestyle="thickThin"/>
                </v:line>
              </w:pict>
            </w:r>
            <w:r w:rsidR="005744a2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</w:tbl>
    <w:p w:rsidP="004e057c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e057c" w:rsidRPr="00e452dc">
        <w:rPr>
          <w:b/>
          <w:sz w:val="28"/>
          <w:bCs/>
          <w:szCs w:val="28"/>
          <w:rFonts w:ascii="Times New Roman" w:hAnsi="Times New Roman"/>
        </w:rPr>
      </w:r>
    </w:p>
    <w:p w:rsidP="004e057c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248cf" w:rsidRPr="004248cf">
        <w:rPr>
          <w:b/>
          <w:sz w:val="28"/>
          <w:bCs/>
          <w:szCs w:val="28"/>
          <w:rFonts w:ascii="Times New Roman" w:hAnsi="Times New Roman"/>
        </w:rPr>
      </w:r>
    </w:p>
    <w:p w:rsidP="004e057c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4e057c">
        <w:rPr>
          <w:b/>
          <w:sz w:val="36"/>
          <w:bCs/>
          <w:szCs w:val="36"/>
          <w:rFonts w:ascii="Times New Roman" w:hAnsi="Times New Roman"/>
        </w:rPr>
        <w:t xml:space="preserve">РЕШЕНИЕ</w:t>
      </w:r>
    </w:p>
    <w:p w:rsidP="004e057c">
      <w:pPr>
        <w:pStyle w:val="Normal"/>
        <w:rPr>
          <w:sz w:val="28"/>
          <w:szCs w:val="28"/>
          <w:rFonts w:ascii="Times New Roman" w:hAnsi="Times New Roman"/>
        </w:rPr>
        <w:ind w:firstLine="567"/>
        <w:spacing w:after="0" w:line="240" w:lineRule="auto"/>
        <w:jc w:val="both"/>
      </w:pPr>
      <w:r w:rsidR="004e057c">
        <w:rPr>
          <w:sz w:val="28"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>
            <w:pPr>
              <w:pStyle w:val="BodyText"/>
              <w:jc w:val="center"/>
            </w:pPr>
            <w:r w:rsidR="00a00ba8">
              <w:t xml:space="preserve">от 23.04.2014 № 452</w:t>
            </w:r>
            <w:r w:rsidR="004e057c"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4e057c">
            <w:pPr>
              <w:pStyle w:val="BodyText"/>
              <w:jc w:val="center"/>
            </w:pPr>
            <w:r w:rsidR="004e057c">
              <w:t xml:space="preserve">14-я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>
            <w:pPr>
              <w:pStyle w:val="BodyText"/>
              <w:rPr>
                <w:sz w:val="22"/>
                <w:szCs w:val="22"/>
              </w:rPr>
              <w:jc w:val="center"/>
            </w:pPr>
            <w:r w:rsidR="004e057c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5744a2">
      <w:pPr>
        <w:pStyle w:val="Normal"/>
        <w:rPr>
          <w:sz w:val="28"/>
          <w:iCs/>
          <w:szCs w:val="28"/>
          <w:rFonts w:eastAsia="Times New Roman"/>
        </w:rPr>
        <w:spacing w:after="0" w:line="240" w:lineRule="auto"/>
      </w:pPr>
      <w:r w:rsidR="004e057c" w:rsidRPr="005744a2">
        <w:rPr>
          <w:sz w:val="28"/>
          <w:iCs/>
          <w:szCs w:val="28"/>
          <w:rFonts w:eastAsia="Times New Roman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01"/>
      </w:tblGrid>
      <w:tr>
        <w:trPr>
          <w:trHeight w:hRule="atLeast" w:val="1154"/>
          <w:trHeight w:hRule="atLeast" w:val="1154"/>
        </w:trPr>
        <w:tc>
          <w:tcPr>
            <w:textDirection w:val="lrTb"/>
            <w:vAlign w:val="top"/>
            <w:tcW w:type="dxa" w:w="560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632a9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tabs>
                <w:tab w:leader="none" w:pos="0" w:val="left"/>
                <w:tab w:leader="none" w:pos="142" w:val="left"/>
                <w:tab w:leader="none" w:pos="709" w:val="left"/>
                <w:tab w:leader="none" w:pos="1134" w:val="left"/>
              </w:tabs>
              <w:contextualSpacing/>
              <w:ind w:right="317"/>
              <w:spacing w:after="0" w:line="240" w:lineRule="auto"/>
              <w:jc w:val="both"/>
            </w:pPr>
            <w:r w:rsidR="004e057c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6825f0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e452dc">
              <w:rPr>
                <w:sz w:val="28"/>
                <w:szCs w:val="28"/>
                <w:rFonts w:ascii="Times New Roman" w:hAnsi="Times New Roman"/>
              </w:rPr>
              <w:t xml:space="preserve">мерах, принимаемых администрацией Петропавловск-Камчатского городского округа по развитию малого и среднего предпринимательства на территории Петропавловск-Камчатского городского округа</w:t>
            </w:r>
            <w:r w:rsidR="004e057c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</w:tr>
    </w:tbl>
    <w:p w:rsidP="004e057c">
      <w:pPr>
        <w:pStyle w:val="Normal"/>
        <w:rPr>
          <w:sz w:val="28"/>
          <w:szCs w:val="28"/>
          <w:rFonts w:ascii="Times New Roman" w:eastAsia="Times New Roman" w:hAnsi="Times New Roman"/>
        </w:rPr>
        <w:ind w:firstLine="708"/>
        <w:spacing w:after="0" w:line="240" w:lineRule="auto"/>
        <w:jc w:val="both"/>
      </w:pPr>
      <w:r w:rsidR="004e057c">
        <w:rPr>
          <w:sz w:val="28"/>
          <w:szCs w:val="28"/>
          <w:rFonts w:ascii="Times New Roman" w:eastAsia="Times New Roman" w:hAnsi="Times New Roman"/>
        </w:rPr>
      </w:r>
    </w:p>
    <w:p w:rsidP="001979de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709"/>
        <w:spacing w:after="0" w:line="240" w:lineRule="auto"/>
        <w:jc w:val="both"/>
      </w:pPr>
      <w:r w:rsidR="004e057c">
        <w:rPr>
          <w:sz w:val="28"/>
          <w:szCs w:val="28"/>
          <w:rFonts w:ascii="Times New Roman" w:hAnsi="Times New Roman"/>
        </w:rPr>
        <w:t xml:space="preserve">Рассмотрев информацию </w:t>
      </w:r>
      <w:r w:rsidR="006825f0">
        <w:rPr>
          <w:sz w:val="28"/>
          <w:szCs w:val="28"/>
          <w:rFonts w:ascii="Times New Roman" w:hAnsi="Times New Roman"/>
        </w:rPr>
        <w:t xml:space="preserve">Главы администрации Петропавловск-Камчатского городского округа Алексеева А.В. </w:t>
      </w:r>
      <w:r w:rsidR="004534d6">
        <w:rPr>
          <w:sz w:val="28"/>
          <w:szCs w:val="28"/>
          <w:rFonts w:ascii="Times New Roman" w:hAnsi="Times New Roman"/>
        </w:rPr>
        <w:t xml:space="preserve">о </w:t>
      </w:r>
      <w:r w:rsidR="00e452dc">
        <w:rPr>
          <w:sz w:val="28"/>
          <w:szCs w:val="28"/>
          <w:rFonts w:ascii="Times New Roman" w:hAnsi="Times New Roman"/>
        </w:rPr>
        <w:t xml:space="preserve">мерах, принимаемых администрацией Петропавловск-Камчатского городского округа по развитию малого и среднего предпринимательства на территории Петропавловск-Камчатского городского округа</w:t>
      </w:r>
      <w:r w:rsidR="004e057c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4e057c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4e057c">
        <w:rPr>
          <w:sz w:val="28"/>
          <w:szCs w:val="28"/>
          <w:rFonts w:ascii="Times New Roman" w:hAnsi="Times New Roman"/>
        </w:rPr>
      </w:r>
    </w:p>
    <w:p w:rsidP="004e057c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4e057c">
        <w:rPr>
          <w:b/>
          <w:sz w:val="28"/>
          <w:bCs/>
          <w:szCs w:val="28"/>
          <w:rFonts w:ascii="Times New Roman" w:hAnsi="Times New Roman"/>
        </w:rPr>
        <w:t xml:space="preserve">РЕШИЛА:</w:t>
      </w:r>
    </w:p>
    <w:p w:rsidP="004e057c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4e057c">
        <w:rPr>
          <w:sz w:val="28"/>
          <w:szCs w:val="28"/>
          <w:rFonts w:ascii="Times New Roman" w:hAnsi="Times New Roman"/>
        </w:rPr>
      </w:r>
    </w:p>
    <w:p w:rsidP="00870b88">
      <w:pPr>
        <w:pStyle w:val="Normal"/>
        <w:rPr>
          <w:sz w:val="28"/>
          <w:szCs w:val="28"/>
          <w:rFonts w:ascii="Times New Roman" w:hAnsi="Times New Roman"/>
        </w:rPr>
        <w:tabs>
          <w:tab w:leader="none" w:pos="851" w:val="left"/>
          <w:tab w:leader="none" w:pos="1134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1"/>
        </w:numPr>
      </w:pPr>
      <w:r w:rsidR="00870b88">
        <w:rPr>
          <w:sz w:val="28"/>
          <w:szCs w:val="28"/>
          <w:rFonts w:ascii="Times New Roman" w:hAnsi="Times New Roman"/>
        </w:rPr>
        <w:t xml:space="preserve">Информацию о мерах, принимаемых администрацией Петропавловск-Камчатского городского округа по развитию малого и среднего предпринимательства на территории Петропавловск-Камчатского городского округа принять к сведению. </w:t>
      </w:r>
    </w:p>
    <w:p w:rsidP="00870b88">
      <w:pPr>
        <w:pStyle w:val="Normal"/>
        <w:rPr>
          <w:sz w:val="28"/>
          <w:szCs w:val="28"/>
          <w:rFonts w:ascii="Times New Roman" w:hAnsi="Times New Roman"/>
        </w:rPr>
        <w:tabs>
          <w:tab w:leader="none" w:pos="851" w:val="left"/>
          <w:tab w:leader="none" w:pos="1134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1"/>
        </w:numPr>
      </w:pPr>
      <w:r w:rsidR="00870b88">
        <w:rPr>
          <w:sz w:val="28"/>
          <w:szCs w:val="28"/>
          <w:rFonts w:ascii="Times New Roman" w:hAnsi="Times New Roman"/>
        </w:rPr>
        <w:t xml:space="preserve">Рекомендовать администрации Петропавловск-Камчатского городского округа:</w:t>
      </w:r>
    </w:p>
    <w:p w:rsidP="00870b88">
      <w:pPr>
        <w:pStyle w:val="Normal"/>
        <w:rPr>
          <w:sz w:val="28"/>
          <w:szCs w:val="28"/>
          <w:rFonts w:ascii="Times New Roman" w:hAnsi="Times New Roman"/>
        </w:rPr>
        <w:tabs>
          <w:tab w:leader="none" w:pos="142" w:val="left"/>
          <w:tab w:leader="none" w:pos="851" w:val="left"/>
          <w:tab w:leader="none" w:pos="1134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3"/>
        </w:numPr>
      </w:pPr>
      <w:r w:rsidR="00870b88">
        <w:rPr>
          <w:sz w:val="28"/>
          <w:szCs w:val="28"/>
          <w:rFonts w:ascii="Times New Roman" w:hAnsi="Times New Roman"/>
        </w:rPr>
        <w:t xml:space="preserve">внести изменения в муниципальную программу «Создание условий                       для развития субъектов малого и среднего предпринимательства                                              и внешнеэкономической деятельности Петропавловск-Камчатского городского округа», утвержденную постановлением администрации Петропавловск-Камчатского городского округа от 01.11.2013 № 3185, в части разработки стратегии развития малого и среднего предпринимательства в Петропавловск-Камчатском городском округе с определением корректных целевых показателей эффективности реализации указанной муниципальной программы;</w:t>
      </w:r>
    </w:p>
    <w:p w:rsidP="00870b88">
      <w:pPr>
        <w:pStyle w:val="Normal"/>
        <w:rPr>
          <w:sz w:val="28"/>
          <w:szCs w:val="28"/>
          <w:rFonts w:ascii="Times New Roman" w:hAnsi="Times New Roman"/>
        </w:rPr>
        <w:tabs>
          <w:tab w:leader="none" w:pos="851" w:val="left"/>
          <w:tab w:leader="none" w:pos="1134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3"/>
        </w:numPr>
      </w:pPr>
      <w:r w:rsidR="00870b88">
        <w:rPr>
          <w:sz w:val="28"/>
          <w:szCs w:val="28"/>
          <w:rFonts w:ascii="Times New Roman" w:hAnsi="Times New Roman"/>
        </w:rPr>
        <w:t xml:space="preserve">организовать широкое освещение в средствах массовой информации работы над проектом схемы размещения нестационарных торговых объектов на территории Петропавловск-Камчатского городского округа </w:t>
      </w:r>
      <w:r w:rsidR="00870b88">
        <w:rPr>
          <w:sz w:val="28"/>
          <w:szCs w:val="28"/>
          <w:rFonts w:ascii="Times New Roman" w:hAnsi="Times New Roman"/>
        </w:rPr>
        <w:t xml:space="preserve">с целью привлечения общественности к его обсуждению;</w:t>
      </w:r>
    </w:p>
    <w:p w:rsidP="00870b88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tabs>
          <w:tab w:leader="none" w:pos="851" w:val="left"/>
          <w:tab w:leader="none" w:pos="1134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3"/>
        </w:numPr>
      </w:pPr>
      <w:r w:rsidR="00870b88" w:rsidRPr="00431adf">
        <w:rPr>
          <w:sz w:val="28"/>
          <w:szCs w:val="28"/>
          <w:rFonts w:ascii="Times New Roman" w:hAnsi="Times New Roman"/>
        </w:rPr>
        <w:t xml:space="preserve">рассмотреть вопрос о создании коллегиального межведомственного органа из числа депутатов Городской Думы Петропавловск-Камчатского городского округа, представителей администрации Петропавловск-Камчатского городского округа, представителей субъектов малого и среднего предпринимательства </w:t>
      </w:r>
      <w:r w:rsidR="00870b88">
        <w:rPr>
          <w:sz w:val="28"/>
          <w:szCs w:val="28"/>
          <w:rFonts w:ascii="Times New Roman" w:hAnsi="Times New Roman"/>
        </w:rPr>
        <w:t xml:space="preserve">                        </w:t>
      </w:r>
      <w:r w:rsidR="00870b88" w:rsidRPr="00431adf">
        <w:rPr>
          <w:sz w:val="28"/>
          <w:szCs w:val="28"/>
          <w:rFonts w:ascii="Times New Roman" w:hAnsi="Times New Roman"/>
        </w:rPr>
        <w:t xml:space="preserve">и их общественных объединений </w:t>
      </w:r>
      <w:r w:rsidR="00870b88">
        <w:rPr>
          <w:sz w:val="28"/>
          <w:szCs w:val="28"/>
          <w:rFonts w:ascii="Times New Roman" w:hAnsi="Times New Roman"/>
        </w:rPr>
        <w:t xml:space="preserve">для решения вопросов</w:t>
      </w:r>
      <w:r w:rsidR="00870b88" w:rsidRPr="00431adf">
        <w:rPr>
          <w:sz w:val="28"/>
          <w:szCs w:val="28"/>
          <w:rFonts w:ascii="Times New Roman" w:hAnsi="Times New Roman"/>
        </w:rPr>
        <w:t xml:space="preserve"> о возможности заключения договоров об </w:t>
      </w:r>
      <w:r w:rsidR="00870b88">
        <w:rPr>
          <w:sz w:val="28"/>
          <w:szCs w:val="28"/>
          <w:rFonts w:ascii="Times New Roman" w:hAnsi="Times New Roman"/>
        </w:rPr>
        <w:t xml:space="preserve">обеспечении</w:t>
      </w:r>
      <w:r w:rsidR="00870b88" w:rsidRPr="00431adf">
        <w:rPr>
          <w:sz w:val="28"/>
          <w:szCs w:val="28"/>
          <w:rFonts w:ascii="Times New Roman" w:hAnsi="Times New Roman"/>
        </w:rPr>
        <w:t xml:space="preserve"> жителей городского округа услугами</w:t>
      </w:r>
      <w:r w:rsidR="00870b88">
        <w:rPr>
          <w:sz w:val="28"/>
          <w:szCs w:val="28"/>
          <w:rFonts w:ascii="Times New Roman" w:hAnsi="Times New Roman"/>
        </w:rPr>
        <w:t xml:space="preserve"> </w:t>
      </w:r>
      <w:r w:rsidR="00870b88" w:rsidRPr="00431adf">
        <w:rPr>
          <w:sz w:val="28"/>
          <w:szCs w:val="28"/>
          <w:rFonts w:ascii="Times New Roman" w:hAnsi="Times New Roman"/>
        </w:rPr>
        <w:t xml:space="preserve">торговли</w:t>
      </w:r>
      <w:r w:rsidR="00870b88">
        <w:rPr>
          <w:sz w:val="28"/>
          <w:szCs w:val="28"/>
          <w:rFonts w:ascii="Times New Roman" w:hAnsi="Times New Roman"/>
        </w:rPr>
        <w:t xml:space="preserve">, общественного питания, бытового обслуживания,</w:t>
      </w:r>
      <w:r w:rsidR="00870b88" w:rsidRPr="00431adf">
        <w:rPr>
          <w:sz w:val="28"/>
          <w:szCs w:val="28"/>
          <w:rFonts w:ascii="Times New Roman" w:hAnsi="Times New Roman"/>
        </w:rPr>
        <w:t xml:space="preserve"> аренды земельных участков</w:t>
      </w:r>
      <w:r w:rsidR="00870b88">
        <w:rPr>
          <w:sz w:val="28"/>
          <w:szCs w:val="28"/>
          <w:rFonts w:ascii="Times New Roman" w:hAnsi="Times New Roman"/>
        </w:rPr>
        <w:t xml:space="preserve">, предоставления земельных участков для целей,</w:t>
      </w:r>
      <w:r w:rsidR="00870b88" w:rsidRPr="00431adf">
        <w:rPr>
          <w:sz w:val="28"/>
          <w:szCs w:val="28"/>
          <w:rFonts w:ascii="Times New Roman" w:hAnsi="Times New Roman"/>
        </w:rPr>
        <w:t xml:space="preserve"> </w:t>
      </w:r>
      <w:r w:rsidR="00870b88">
        <w:rPr>
          <w:sz w:val="28"/>
          <w:szCs w:val="28"/>
          <w:rFonts w:ascii="Times New Roman" w:hAnsi="Times New Roman"/>
        </w:rPr>
        <w:t xml:space="preserve">не связанных со строительством.</w:t>
      </w:r>
      <w:r w:rsidR="00870b88" w:rsidRPr="00431adf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p w:rsidP="00870b88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tabs>
          <w:tab w:leader="none" w:pos="851" w:val="left"/>
          <w:tab w:leader="none" w:pos="993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1"/>
        </w:numPr>
      </w:pPr>
      <w:r w:rsidR="00870b88" w:rsidRPr="00e8198f">
        <w:rPr>
          <w:sz w:val="28"/>
          <w:szCs w:val="28"/>
          <w:rFonts w:ascii="Times New Roman" w:hAnsi="Times New Roman"/>
        </w:rPr>
        <w:t xml:space="preserve">На очередной сессии Городской Думы Петропавловск-Камчатского городского округа заслушать Главу администрации Петропавловск-Камчатского городского округа о результатах ревизии действующих правовых актов, регулирующих отношения в сфере развития малого и среднего предпринимательства, о статистике отказов (в том числе неправомерных) субъектам малого и среднего предпринимательства в продлении договоров, указанных </w:t>
      </w:r>
      <w:r w:rsidR="00870b88">
        <w:rPr>
          <w:sz w:val="28"/>
          <w:szCs w:val="28"/>
          <w:rFonts w:ascii="Times New Roman" w:hAnsi="Times New Roman"/>
        </w:rPr>
        <w:t xml:space="preserve">                       </w:t>
      </w:r>
      <w:r w:rsidR="00870b88" w:rsidRPr="00e8198f">
        <w:rPr>
          <w:sz w:val="28"/>
          <w:szCs w:val="28"/>
          <w:rFonts w:ascii="Times New Roman" w:hAnsi="Times New Roman"/>
        </w:rPr>
        <w:t xml:space="preserve">в подпункте 3 пункта 2 настоящего решения, о результатах осуществления мер, принимаемых </w:t>
      </w:r>
      <w:r w:rsidR="00870b88">
        <w:rPr>
          <w:sz w:val="28"/>
          <w:szCs w:val="28"/>
          <w:rFonts w:ascii="Times New Roman" w:hAnsi="Times New Roman"/>
        </w:rPr>
        <w:t xml:space="preserve">а</w:t>
      </w:r>
      <w:r w:rsidR="00870b88" w:rsidRPr="00e8198f">
        <w:rPr>
          <w:sz w:val="28"/>
          <w:szCs w:val="28"/>
          <w:rFonts w:ascii="Times New Roman" w:hAnsi="Times New Roman"/>
        </w:rPr>
        <w:t xml:space="preserve">дминистрацией Петропавловск-Камчатского городского округа </w:t>
      </w:r>
      <w:r w:rsidR="00870b88">
        <w:rPr>
          <w:sz w:val="28"/>
          <w:szCs w:val="28"/>
          <w:rFonts w:ascii="Times New Roman" w:hAnsi="Times New Roman"/>
        </w:rPr>
        <w:t xml:space="preserve">                   </w:t>
      </w:r>
      <w:r w:rsidR="00870b88" w:rsidRPr="00e8198f">
        <w:rPr>
          <w:sz w:val="28"/>
          <w:szCs w:val="28"/>
          <w:rFonts w:ascii="Times New Roman" w:hAnsi="Times New Roman"/>
        </w:rPr>
        <w:t xml:space="preserve">по развитию малого и среднего предпринимательства</w:t>
      </w:r>
      <w:r w:rsidR="00870b88">
        <w:rPr>
          <w:sz w:val="28"/>
          <w:szCs w:val="28"/>
          <w:rFonts w:ascii="Times New Roman" w:hAnsi="Times New Roman"/>
        </w:rPr>
        <w:t xml:space="preserve">, </w:t>
      </w:r>
      <w:r w:rsidR="00870b88" w:rsidRPr="00e8198f">
        <w:rPr>
          <w:sz w:val="28"/>
          <w:szCs w:val="28"/>
          <w:rFonts w:ascii="Times New Roman" w:hAnsi="Times New Roman"/>
        </w:rPr>
        <w:t xml:space="preserve">перспективах дальнейшего развития малого и среднего предпринимательства на территории Петропавловск-Камчатского городского округа.</w:t>
      </w:r>
      <w:r w:rsidR="00870b88" w:rsidRPr="00437968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p w:rsidP="001979de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tabs>
          <w:tab w:leader="none" w:pos="993" w:val="left"/>
        </w:tabs>
        <w:shd w:color="auto" w:fill="ffffff" w:val="clear"/>
        <w:ind w:left="567"/>
        <w:spacing w:after="0" w:line="240" w:lineRule="auto"/>
        <w:jc w:val="both"/>
      </w:pPr>
      <w:r w:rsidR="001979de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p w:rsidP="001979de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tabs>
          <w:tab w:leader="none" w:pos="993" w:val="left"/>
        </w:tabs>
        <w:shd w:color="auto" w:fill="ffffff" w:val="clear"/>
        <w:ind w:left="567"/>
        <w:spacing w:after="0" w:line="240" w:lineRule="auto"/>
        <w:jc w:val="both"/>
      </w:pPr>
      <w:r w:rsidR="001979de" w:rsidRPr="009b61a6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53"/>
        <w:gridCol w:w="1799"/>
        <w:gridCol w:w="3662"/>
      </w:tblGrid>
      <w:tr>
        <w:trPr>
          <w:trHeight w:hRule="atLeast" w:val="1118"/>
          <w:wAfter w:type="dxa" w:w="0"/>
          <w:trHeight w:hRule="atLeast" w:val="1118"/>
          <w:wAfter w:type="dxa" w:w="0"/>
        </w:trPr>
        <w:tc>
          <w:tcPr>
            <w:textDirection w:val="lrTb"/>
            <w:vAlign w:val="top"/>
            <w:tcW w:type="dxa" w:w="48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  <w:jc w:val="both"/>
            </w:pPr>
            <w:r w:rsidR="004e057c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4e057c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17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</w:pPr>
            <w:r w:rsidR="004e057c">
              <w:rPr>
                <w:sz w:val="28"/>
                <w:szCs w:val="28"/>
                <w:rFonts w:ascii="Times New Roman" w:eastAsia="Times New Roman" w:hAnsi="Times New Roman"/>
              </w:rPr>
            </w:r>
          </w:p>
          <w:p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</w:pPr>
            <w:r w:rsidR="004e057c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3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4e057c">
              <w:rPr>
                <w:sz w:val="28"/>
                <w:szCs w:val="28"/>
                <w:rFonts w:ascii="Times New Roman" w:eastAsia="Times New Roman" w:hAnsi="Times New Roman"/>
              </w:rPr>
            </w:r>
          </w:p>
          <w:p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1979de"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4e057c">
              <w:rPr>
                <w:sz w:val="28"/>
                <w:szCs w:val="28"/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4e057c">
              <w:rPr>
                <w:sz w:val="28"/>
                <w:szCs w:val="28"/>
                <w:rFonts w:ascii="Times New Roman" w:hAnsi="Times New Roman"/>
              </w:rPr>
              <w:t xml:space="preserve">  К.Г. Слыщенко</w:t>
            </w:r>
            <w:r w:rsidR="004e057c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</w:tr>
    </w:tbl>
    <w:p>
      <w:pPr>
        <w:pStyle w:val="Normal"/>
      </w:pPr>
      <w:r w:rsidR="00b81d0d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56679d3"/>
    <w:multiLevelType w:val="hybridMultilevel"/>
    <w:tmpl w:val="51268f4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30352eb3"/>
    <w:multiLevelType w:val="hybridMultilevel"/>
    <w:tmpl w:val="f24e283a"/>
    <w:lvl w:ilvl="0">
      <w:start w:val="1"/>
      <w:numFmt w:val="decimal"/>
      <w:suff w:val="tab"/>
      <w:lvlText w:val="%1."/>
      <w:lvlJc w:val="left"/>
      <w:pPr>
        <w:pStyle w:val="Normal"/>
        <w:ind w:hanging="360" w:left="36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7"/>
      </w:pPr>
    </w:lvl>
  </w:abstractNum>
  <w:abstractNum w:abstractNumId="2">
    <w:nsid w:val="4d66168e"/>
    <w:multiLevelType w:val="hybridMultilevel"/>
    <w:tmpl w:val="0742d6ac"/>
    <w:lvl w:ilvl="0">
      <w:start w:val="1"/>
      <w:numFmt w:val="decimal"/>
      <w:suff w:val="tab"/>
      <w:lvlText w:val="%1)"/>
      <w:lvlJc w:val="left"/>
      <w:pPr>
        <w:pStyle w:val="Normal"/>
        <w:ind w:hanging="360" w:left="92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4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6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8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0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2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4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6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87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1632a9"/>
    <w:rsid w:val="001979de"/>
    <w:rsid w:val="004248cf"/>
    <w:rsid w:val="00431adf"/>
    <w:rsid w:val="00437968"/>
    <w:rsid w:val="004534d6"/>
    <w:rsid w:val="004e057c"/>
    <w:rsid w:val="005744a2"/>
    <w:rsid w:val="006825f0"/>
    <w:rsid w:val="00870b88"/>
    <w:rsid w:val="009b61a6"/>
    <w:rsid w:val="00a00ba8"/>
    <w:rsid w:val="00b81d0d"/>
    <w:rsid w:val="00e452dc"/>
    <w:rsid w:val="00e8198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0"/>
    <w:pPr>
      <w:spacing w:after="0" w:line="240" w:lineRule="auto"/>
      <w:jc w:val="both"/>
    </w:pPr>
    <w:rPr>
      <w:sz w:val="24"/>
      <w:szCs w:val="24"/>
      <w:lang w:eastAsia="ru-RU"/>
      <w:rFonts w:ascii="Times New Roman" w:eastAsia="Times New Roman" w:hAnsi="Times New Roman"/>
    </w:rPr>
  </w:style>
  <w:style w:type="character" w:styleId="StGen0">
    <w:name w:val="StGen0"/>
    <w:next w:val="StGen0"/>
    <w:link w:val="BodyText"/>
    <w:rPr>
      <w:sz w:val="24"/>
      <w:szCs w:val="24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6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semiHidden/>
    <w:rPr>
      <w:sz w:val="16"/>
      <w:szCs w:val="16"/>
      <w:lang w:eastAsia="en-US"/>
      <w:rFonts w:ascii="Tahoma" w:hAnsi="Tahoma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ascii="Times New Roman" w:eastAsia="Calibri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