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266761">
      <w:pPr>
        <w:pStyle w:val="Normal"/>
        <w:rPr>
          <w:sz w:val="28"/>
          <w:szCs w:val="28"/>
        </w:rPr>
      </w:pPr>
      <w:r w:rsidR="00266761" w:rsidRPr="00b1791d">
        <w:rPr>
          <w:sz w:val="28"/>
          <w:szCs w:val="28"/>
        </w:rPr>
      </w:r>
    </w:p>
    <w:tbl>
      <w:tblPr>
        <w:tblW w:type="dxa" w:w="10031"/>
        <w:tblLook w:val="01e0"/>
        <w:tblW w:type="dxa" w:w="10031"/>
        <w:tblpPr w:horzAnchor="margin" w:leftFromText="180" w:rightFromText="180" w:tblpY="72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e0de8">
            <w:pPr>
              <w:pStyle w:val="Normal"/>
              <w:rPr>
                <w:sz w:val="28"/>
                <w:lang w:val="en-US"/>
              </w:rPr>
              <w:framePr w:hAnchor="margin" w:hSpace="180" w:vAnchor="page" w:wrap="around" w:y="721"/>
              <w:jc w:val="center"/>
            </w:pPr>
            <w:r w:rsidR="00fe0de8" w:rsidRPr="00266761">
              <w:rPr>
                <w:sz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CA1AE812-AD76-4F65-B6D6-FF00AB3F7FF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fe0de8" w:rsidRPr="00266761">
              <w:rPr>
                <w:sz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e0de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721"/>
              <w:jc w:val="center"/>
            </w:pPr>
            <w:r w:rsidR="00fe0de8" w:rsidRPr="0026676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e0de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721"/>
              <w:jc w:val="center"/>
            </w:pPr>
            <w:r w:rsidR="00fe0de8" w:rsidRPr="0026676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e0de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721"/>
              <w:jc w:val="center"/>
            </w:pPr>
            <w:r w:rsidR="00fe0de8" w:rsidRPr="00266761">
              <w:rPr>
                <w:sz w:val="28"/>
                <w:noProof/>
              </w:rPr>
              <w:pict>
                <v:line id="_x0000_s1075" type="#_x0000_t20" style="position:absolute;mso-position-vertical-relative:page;" from="-5.4000000000000004pt,9.3000000000000007pt" to="493.05000000000001pt,9.3000000000000007pt" strokeweight="63500">
                  <v:stroke linestyle="thickThin"/>
                </v:line>
              </w:pict>
            </w:r>
            <w:r w:rsidR="00fe0de8" w:rsidRPr="00266761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e0de8">
      <w:pPr>
        <w:pStyle w:val="Normal"/>
        <w:rPr>
          <w:b/>
          <w:sz w:val="36"/>
          <w:szCs w:val="36"/>
        </w:rPr>
        <w:jc w:val="center"/>
      </w:pPr>
      <w:r w:rsidR="00266761" w:rsidRPr="00266761">
        <w:rPr>
          <w:b/>
          <w:sz w:val="36"/>
          <w:szCs w:val="36"/>
        </w:rPr>
        <w:t xml:space="preserve">РЕШЕНИЕ</w:t>
      </w:r>
    </w:p>
    <w:p w:rsidP="00266761">
      <w:pPr>
        <w:pStyle w:val="Normal"/>
        <w:rPr>
          <w:sz w:val="28"/>
          <w:szCs w:val="28"/>
        </w:rPr>
      </w:pPr>
      <w:r w:rsidR="00266761" w:rsidRPr="00fe0de8">
        <w:rPr>
          <w:sz w:val="28"/>
          <w:szCs w:val="28"/>
        </w:rPr>
      </w:r>
    </w:p>
    <w:tbl>
      <w:tblPr>
        <w:tblW w:type="auto" w:w="0"/>
        <w:tblLook w:val="01e0"/>
        <w:tblW w:type="auto" w:w="0"/>
        <w:tblpPr w:horzAnchor="text" w:leftFromText="180" w:rightFromText="180" w:tblpX="108" w:tblpY="-3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dd2dbb">
            <w:pPr>
              <w:pStyle w:val="Normal"/>
              <w:framePr w:hAnchor="text" w:hSpace="180" w:vAnchor="text" w:wrap="around" w:x="108" w:y="-39"/>
              <w:jc w:val="center"/>
            </w:pPr>
            <w:r w:rsidR="00fe0de8">
              <w:t xml:space="preserve">о</w:t>
            </w:r>
            <w:r w:rsidR="00fe0de8" w:rsidRPr="00f43ab6">
              <w:t xml:space="preserve">т</w:t>
            </w:r>
            <w:r w:rsidR="00fe0de8">
              <w:t xml:space="preserve"> 23.04.2014 № 45</w:t>
            </w:r>
            <w:r w:rsidR="00dd2dbb">
              <w:t xml:space="preserve">0</w:t>
            </w:r>
            <w:r w:rsidR="00fe0de8">
              <w:t xml:space="preserve">-р</w:t>
            </w:r>
            <w:r w:rsidR="00266761" w:rsidRPr="00266761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266761">
            <w:pPr>
              <w:pStyle w:val="Normal"/>
              <w:framePr w:hAnchor="text" w:hSpace="180" w:vAnchor="text" w:wrap="around" w:x="108" w:y="-39"/>
              <w:jc w:val="center"/>
            </w:pPr>
            <w:r w:rsidR="00fe0de8">
              <w:t xml:space="preserve">14-я </w:t>
            </w:r>
            <w:r w:rsidR="00fe0de8" w:rsidRPr="00f43ab6">
              <w:t xml:space="preserve">сессия</w:t>
            </w:r>
            <w:r w:rsidR="00266761" w:rsidRPr="00266761"/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right w:val="nil"/>
            </w:tcBorders>
          </w:tcPr>
          <w:p w:rsidP="00266761">
            <w:pPr>
              <w:pStyle w:val="Normal"/>
              <w:rPr>
                <w:sz w:val="22"/>
              </w:rPr>
              <w:framePr w:hAnchor="text" w:hSpace="180" w:vAnchor="text" w:wrap="around" w:x="108" w:y="-39"/>
              <w:jc w:val="center"/>
            </w:pPr>
            <w:r w:rsidR="00266761" w:rsidRPr="00266761">
              <w:rPr>
                <w:sz w:val="22"/>
                <w:szCs w:val="22"/>
              </w:rPr>
              <w:t xml:space="preserve">г.Петропавловск-Камчатский</w:t>
            </w:r>
            <w:r w:rsidR="00266761" w:rsidRPr="00266761">
              <w:rPr>
                <w:sz w:val="22"/>
              </w:rPr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X="108" w:tblpY="-33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78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6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x="108" w:y="-333"/>
              <w:jc w:val="both"/>
            </w:pPr>
            <w:r w:rsidR="00266761" w:rsidRPr="00266761">
              <w:rPr>
                <w:sz w:val="28"/>
                <w:szCs w:val="28"/>
              </w:rPr>
              <w:t xml:space="preserve">О принятии решения о внесении изменений в Устав Петропавловск-Камчатского городского округа</w:t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6761">
      <w:pPr>
        <w:pStyle w:val="Normal"/>
        <w:rPr>
          <w:sz w:val="28"/>
        </w:rPr>
        <w:ind w:firstLine="709"/>
        <w:jc w:val="both"/>
      </w:pPr>
      <w:r w:rsidR="00266761" w:rsidRPr="00266761"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Главой Петропавловск-Камчатского городского округа Слыщенко К.Г., руко</w:t>
      </w:r>
      <w:r w:rsidR="00ec62d4">
        <w:rPr>
          <w:sz w:val="28"/>
        </w:rPr>
        <w:t xml:space="preserve">водствуясь Федеральным законом</w:t>
      </w:r>
      <w:r w:rsidR="00c208cc">
        <w:rPr>
          <w:sz w:val="28"/>
        </w:rPr>
        <w:t xml:space="preserve"> </w:t>
        <w:br w:clear="all" w:type="textWrapping"/>
        <w:t xml:space="preserve">о</w:t>
      </w:r>
      <w:r w:rsidR="00266761" w:rsidRPr="00266761">
        <w:rPr>
          <w:sz w:val="28"/>
        </w:rPr>
        <w:t xml:space="preserve">т 06.10.2003 № 131-ФЗ «Об общих принципах организации местного самоуправления в Российской Федерации», принимая во внимание рекомендации публичных слушаний от 12 марта 2014 года по вопросу «О внесении изменений в Устав Петропавловск-Камчатского городского округа», Городская Дума Петропавловск-Камчатского городского округа </w:t>
      </w:r>
    </w:p>
    <w:p w:rsidP="00266761">
      <w:pPr>
        <w:pStyle w:val="Normal"/>
        <w:rPr>
          <w:sz w:val="28"/>
          <w:szCs w:val="28"/>
          <w:lang w:eastAsia="en-US"/>
        </w:rPr>
      </w:pPr>
      <w:r w:rsidR="00266761" w:rsidRPr="00fe0de8">
        <w:rPr>
          <w:sz w:val="28"/>
          <w:szCs w:val="28"/>
          <w:lang w:eastAsia="en-US"/>
        </w:rPr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  <w:t xml:space="preserve">РЕШИЛА:</w:t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tabs>
          <w:tab w:leader="none" w:pos="540" w:val="left"/>
          <w:tab w:leader="none" w:pos="900" w:val="left"/>
        </w:tabs>
        <w:suppressAutoHyphens/>
        <w:ind w:firstLine="709"/>
        <w:jc w:val="both"/>
      </w:pPr>
      <w:r w:rsidR="00266761" w:rsidRPr="00266761">
        <w:rPr>
          <w:sz w:val="28"/>
          <w:szCs w:val="28"/>
        </w:rPr>
        <w:t xml:space="preserve">1. Принять Решение о внесении изменений в Устав Петропавловск-Камчатского городского округа.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66761" w:rsidRPr="00266761"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настоящее Решение в газету «Град Петра и Павла» для опубликования.</w:t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fe0de8" w:rsidRPr="00266761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2268"/>
        <w:gridCol w:w="3118"/>
      </w:tblGrid>
      <w:tr>
        <w:trPr>
          <w:trHeight w:hRule="atLeast" w:val="1356"/>
          <w:wAfter w:type="dxa" w:w="0"/>
          <w:trHeight w:hRule="atLeast" w:val="1356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both"/>
            </w:pPr>
            <w:r w:rsidR="00266761" w:rsidRPr="00266761">
              <w:rPr>
                <w:sz w:val="28"/>
              </w:rPr>
              <w:t xml:space="preserve">Глава Петропавловск-Камчатского  городского округа, исполняющий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</w:pPr>
            <w:r w:rsidR="00266761" w:rsidRPr="00266761">
              <w:rPr>
                <w:sz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c208cc">
            <w:pPr>
              <w:pStyle w:val="Normal"/>
              <w:rPr>
                <w:sz w:val="28"/>
              </w:rPr>
              <w:ind w:right="-108"/>
              <w:spacing w:line="0" w:lineRule="auto"/>
              <w:jc w:val="right"/>
            </w:pPr>
            <w:r w:rsidR="00266761" w:rsidRPr="00266761">
              <w:rPr>
                <w:sz w:val="28"/>
              </w:rPr>
              <w:t xml:space="preserve">К.Г.</w:t>
            </w:r>
            <w:r w:rsidR="00266761" w:rsidRPr="00266761">
              <w:rPr>
                <w:sz w:val="28"/>
                <w:lang w:val="en-US"/>
              </w:rPr>
              <w:t xml:space="preserve"> </w:t>
            </w:r>
            <w:r w:rsidR="00266761" w:rsidRPr="00266761">
              <w:rPr>
                <w:sz w:val="28"/>
              </w:rPr>
              <w:t xml:space="preserve">Слыщенко</w:t>
            </w:r>
          </w:p>
        </w:tc>
      </w:tr>
    </w:tbl>
    <w:p w:rsidP="00413c23">
      <w:pPr>
        <w:pStyle w:val="Normal"/>
        <w:rPr>
          <w:vanish/>
        </w:rPr>
      </w:pPr>
      <w:r w:rsidR="00413c23" w:rsidRPr="00413c23">
        <w:rPr>
          <w:vanish/>
        </w:rPr>
      </w:r>
    </w:p>
    <w:tbl>
      <w:tblPr>
        <w:tblW w:type="auto" w:w="0"/>
        <w:tblLook w:val="01e0"/>
        <w:tblW w:type="auto" w:w="0"/>
        <w:tblpPr w:horzAnchor="margin" w:leftFromText="181" w:rightFromText="181" w:tblpY="9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5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94"/>
              <w:jc w:val="center"/>
            </w:pPr>
            <w:r w:rsidR="00c208cc" w:rsidRPr="00c80bac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5E794F52-2641-4E08-91ED-A0515D35344A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08cc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94"/>
              <w:jc w:val="center"/>
            </w:pPr>
            <w:r w:rsidR="00c208cc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94"/>
              <w:jc w:val="center"/>
            </w:pPr>
            <w:r w:rsidR="00c208cc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5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94"/>
              <w:jc w:val="center"/>
            </w:pPr>
            <w:r w:rsidR="00c208cc" w:rsidRPr="008012d5">
              <w:rPr>
                <w:noProof/>
                <w:rFonts w:ascii="Bookman Old Style" w:hAnsi="Bookman Old Style"/>
              </w:rPr>
              <w:pict>
                <v:line id="_x0000_s1076" type="#_x0000_t20" style="position:absolute;mso-position-vertical-relative:page;" from="-3pt,11.6pt" to="474pt,11.6pt" strokeweight="63500" filled="f">
                  <v:stroke linestyle="thickThin"/>
                </v:line>
              </w:pict>
            </w:r>
            <w:r w:rsidR="00c208cc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e31018">
      <w:pPr>
        <w:pStyle w:val="Normal"/>
        <w:rPr>
          <w:b/>
          <w:sz w:val="28"/>
          <w:szCs w:val="28"/>
        </w:rPr>
        <w:jc w:val="center"/>
      </w:pPr>
      <w:r w:rsidR="00e31018" w:rsidRPr="00dd2dbb">
        <w:rPr>
          <w:b/>
          <w:sz w:val="28"/>
          <w:szCs w:val="28"/>
        </w:rPr>
      </w:r>
    </w:p>
    <w:p w:rsidP="00e31018">
      <w:pPr>
        <w:pStyle w:val="Normal"/>
        <w:rPr>
          <w:b/>
          <w:sz w:val="36"/>
          <w:szCs w:val="36"/>
        </w:rPr>
        <w:jc w:val="center"/>
      </w:pPr>
      <w:r w:rsidR="00e31018" w:rsidRPr="00ef7e01">
        <w:rPr>
          <w:b/>
          <w:sz w:val="36"/>
          <w:szCs w:val="36"/>
        </w:rPr>
        <w:t xml:space="preserve">РЕШЕНИЕ</w:t>
      </w:r>
    </w:p>
    <w:p w:rsidP="00e31018">
      <w:pPr>
        <w:pStyle w:val="Normal"/>
        <w:rPr>
          <w:b/>
          <w:sz w:val="28"/>
          <w:szCs w:val="28"/>
        </w:rPr>
        <w:jc w:val="center"/>
      </w:pPr>
      <w:r w:rsidR="00e31018" w:rsidRPr="00dd2dbb">
        <w:rPr>
          <w:b/>
          <w:sz w:val="28"/>
          <w:szCs w:val="28"/>
        </w:rPr>
      </w:r>
    </w:p>
    <w:p w:rsidP="00dd2dbb">
      <w:pPr>
        <w:pStyle w:val="Normal"/>
        <w:rPr>
          <w:sz w:val="28"/>
          <w:szCs w:val="28"/>
        </w:rPr>
        <w:jc w:val="center"/>
      </w:pPr>
      <w:r w:rsidR="00dd2dbb">
        <w:rPr>
          <w:sz w:val="28"/>
          <w:szCs w:val="28"/>
        </w:rPr>
        <w:t xml:space="preserve">от 28.04.2014 № 210-нд</w:t>
      </w:r>
    </w:p>
    <w:p w:rsidP="00e31018">
      <w:pPr>
        <w:pStyle w:val="Normal"/>
        <w:rPr>
          <w:sz w:val="28"/>
          <w:szCs w:val="28"/>
        </w:rPr>
        <w:jc w:val="center"/>
      </w:pPr>
      <w:r w:rsidR="00e31018" w:rsidRPr="004216fd">
        <w:rPr>
          <w:sz w:val="28"/>
          <w:szCs w:val="28"/>
        </w:rPr>
      </w:r>
    </w:p>
    <w:p w:rsidP="00e31018">
      <w:pPr>
        <w:pStyle w:val="Normal"/>
        <w:rPr>
          <w:b/>
          <w:sz w:val="28"/>
          <w:bCs/>
          <w:szCs w:val="28"/>
        </w:rPr>
        <w:jc w:val="center"/>
      </w:pPr>
      <w:r w:rsidR="00e31018" w:rsidRPr="004216fd">
        <w:rPr>
          <w:b/>
          <w:sz w:val="28"/>
          <w:szCs w:val="28"/>
        </w:rPr>
        <w:t xml:space="preserve">О внесении изменений в </w:t>
      </w:r>
      <w:r w:rsidR="00e31018">
        <w:rPr>
          <w:b/>
          <w:sz w:val="28"/>
          <w:szCs w:val="28"/>
        </w:rPr>
        <w:t xml:space="preserve">Устав</w:t>
      </w:r>
      <w:r w:rsidR="00e31018" w:rsidRPr="004216fd">
        <w:rPr>
          <w:b/>
          <w:sz w:val="28"/>
          <w:bCs/>
          <w:szCs w:val="28"/>
        </w:rPr>
        <w:t xml:space="preserve"> П</w:t>
      </w:r>
      <w:r w:rsidR="00e31018" w:rsidRPr="004216fd">
        <w:rPr>
          <w:b/>
          <w:sz w:val="28"/>
          <w:bCs/>
          <w:szCs w:val="28"/>
        </w:rPr>
        <w:t xml:space="preserve">е</w:t>
      </w:r>
      <w:r w:rsidR="00e31018" w:rsidRPr="004216fd">
        <w:rPr>
          <w:b/>
          <w:sz w:val="28"/>
          <w:bCs/>
          <w:szCs w:val="28"/>
        </w:rPr>
        <w:t xml:space="preserve">тропавловск</w:t>
      </w:r>
      <w:r w:rsidR="00e31018" w:rsidRPr="004216fd">
        <w:rPr>
          <w:sz w:val="28"/>
          <w:bCs/>
          <w:szCs w:val="28"/>
        </w:rPr>
        <w:t xml:space="preserve">-</w:t>
      </w:r>
      <w:r w:rsidR="00e31018" w:rsidRPr="004216fd">
        <w:rPr>
          <w:b/>
          <w:sz w:val="28"/>
          <w:bCs/>
          <w:szCs w:val="28"/>
        </w:rPr>
        <w:t xml:space="preserve">Камчатского </w:t>
      </w:r>
      <w:r w:rsidR="00e31018">
        <w:rPr>
          <w:b/>
          <w:sz w:val="28"/>
          <w:bCs/>
          <w:szCs w:val="28"/>
        </w:rPr>
      </w:r>
    </w:p>
    <w:p w:rsidP="00e31018">
      <w:pPr>
        <w:pStyle w:val="Normal"/>
        <w:rPr>
          <w:b/>
          <w:sz w:val="28"/>
          <w:bCs/>
          <w:szCs w:val="28"/>
        </w:rPr>
        <w:jc w:val="center"/>
      </w:pPr>
      <w:r w:rsidR="00e31018">
        <w:rPr>
          <w:b/>
          <w:sz w:val="28"/>
          <w:bCs/>
          <w:szCs w:val="28"/>
        </w:rPr>
        <w:t xml:space="preserve">городского округа</w:t>
      </w:r>
    </w:p>
    <w:p w:rsidP="00e31018">
      <w:pPr>
        <w:pStyle w:val="Normal"/>
        <w:rPr>
          <w:b/>
          <w:sz w:val="28"/>
          <w:szCs w:val="28"/>
        </w:rPr>
        <w:jc w:val="center"/>
      </w:pPr>
      <w:r w:rsidR="00e31018" w:rsidRPr="00dd2dbb">
        <w:rPr>
          <w:b/>
          <w:sz w:val="28"/>
          <w:szCs w:val="28"/>
        </w:rPr>
      </w:r>
    </w:p>
    <w:p w:rsidP="00e31018">
      <w:pPr>
        <w:pStyle w:val="Normal"/>
        <w:rPr>
          <w:i/>
        </w:rPr>
        <w:jc w:val="center"/>
      </w:pPr>
      <w:r w:rsidR="00e31018" w:rsidRPr="00db4f51">
        <w:rPr>
          <w:i/>
        </w:rPr>
        <w:t xml:space="preserve">Принято Городской Думой</w:t>
      </w:r>
      <w:r w:rsidR="00e31018">
        <w:rPr>
          <w:i/>
        </w:rPr>
        <w:t xml:space="preserve"> </w:t>
      </w:r>
      <w:r w:rsidR="00e31018" w:rsidRPr="00db4f51">
        <w:rPr>
          <w:i/>
        </w:rPr>
        <w:t xml:space="preserve">Петропавловск-Камчатского городского округа</w:t>
      </w:r>
    </w:p>
    <w:p w:rsidP="00e31018">
      <w:pPr>
        <w:pStyle w:val="Normal"/>
        <w:rPr>
          <w:i/>
        </w:rPr>
        <w:jc w:val="center"/>
      </w:pPr>
      <w:r w:rsidR="00e31018">
        <w:rPr>
          <w:i/>
        </w:rPr>
        <w:t xml:space="preserve">(р</w:t>
      </w:r>
      <w:r w:rsidR="00e31018" w:rsidRPr="00db4f51">
        <w:rPr>
          <w:i/>
        </w:rPr>
        <w:t xml:space="preserve">ешение от </w:t>
      </w:r>
      <w:r w:rsidR="00dd2dbb">
        <w:rPr>
          <w:i/>
        </w:rPr>
        <w:t xml:space="preserve">23.04.2014 № 450-р</w:t>
      </w:r>
      <w:r w:rsidR="00dd2dbb" w:rsidRPr="00db4f51">
        <w:rPr>
          <w:i/>
        </w:rPr>
        <w:t xml:space="preserve">)</w:t>
      </w:r>
      <w:r w:rsidR="00e31018" w:rsidRPr="00db4f51">
        <w:rPr>
          <w:i/>
        </w:rPr>
      </w:r>
    </w:p>
    <w:p w:rsidP="00e2239b">
      <w:pPr>
        <w:pStyle w:val="Normal"/>
        <w:rPr>
          <w:sz w:val="28"/>
          <w:szCs w:val="28"/>
        </w:rPr>
        <w:jc w:val="both"/>
      </w:pPr>
      <w:r w:rsidR="008c6a31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 w:rsidRPr="002c1d46">
        <w:rPr>
          <w:sz w:val="28"/>
          <w:szCs w:val="28"/>
        </w:rPr>
        <w:t xml:space="preserve">1. </w:t>
      </w:r>
      <w:r w:rsidR="007e1d2f">
        <w:rPr>
          <w:sz w:val="28"/>
          <w:szCs w:val="28"/>
        </w:rPr>
        <w:t xml:space="preserve">В статье 11: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1) в пункте</w:t>
      </w:r>
      <w:r w:rsidR="007e1d2f" w:rsidRPr="001435a9">
        <w:rPr>
          <w:sz w:val="28"/>
          <w:szCs w:val="28"/>
        </w:rPr>
        <w:fldChar w:fldCharType="begin"/>
      </w:r>
      <w:r w:rsidR="007e1d2f" w:rsidRPr="001435a9">
        <w:rPr>
          <w:sz w:val="28"/>
          <w:szCs w:val="28"/>
        </w:rPr>
        <w:instrText xml:space="preserve">HYPERLINK "garantF1://86367.160113"</w:instrText>
      </w:r>
      <w:r w:rsidR="007e1d2f" w:rsidRPr="001435a9">
        <w:rPr>
          <w:sz w:val="28"/>
          <w:szCs w:val="28"/>
        </w:rPr>
      </w:r>
      <w:r w:rsidR="007e1d2f" w:rsidRPr="001435a9">
        <w:rPr>
          <w:sz w:val="28"/>
          <w:szCs w:val="28"/>
        </w:rPr>
        <w:fldChar w:fldCharType="separate"/>
      </w:r>
      <w:r w:rsidR="00c208cc">
        <w:rPr>
          <w:sz w:val="28"/>
          <w:szCs w:val="28"/>
        </w:rPr>
        <w:instrText xml:space="preserve"> </w:instrText>
      </w:r>
      <w:r w:rsidR="007e1d2f" w:rsidRPr="001435a9">
        <w:rPr>
          <w:sz w:val="28"/>
          <w:szCs w:val="28"/>
        </w:rPr>
        <w:instrText xml:space="preserve">14 части</w:instrText>
      </w:r>
      <w:r w:rsidR="00c208cc">
        <w:rPr>
          <w:sz w:val="28"/>
          <w:szCs w:val="28"/>
        </w:rPr>
        <w:instrText xml:space="preserve"> </w:instrText>
      </w:r>
      <w:r w:rsidR="007e1d2f" w:rsidRPr="001435a9">
        <w:rPr>
          <w:sz w:val="28"/>
          <w:szCs w:val="28"/>
        </w:rPr>
        <w:instrText xml:space="preserve">1 </w:instrText>
      </w:r>
      <w:r w:rsidR="007e1d2f" w:rsidRPr="001435a9">
        <w:rPr>
          <w:sz w:val="28"/>
          <w:szCs w:val="28"/>
        </w:rPr>
        <w:fldChar w:fldCharType="end"/>
      </w:r>
      <w:r w:rsidR="007e1d2f">
        <w:rPr>
          <w:sz w:val="28"/>
          <w:szCs w:val="28"/>
        </w:rPr>
        <w:t xml:space="preserve">слова «</w:t>
      </w:r>
      <w:r w:rsidR="007e1d2f" w:rsidRPr="001c1b36">
        <w:rPr>
          <w:sz w:val="28"/>
          <w:szCs w:val="28"/>
        </w:rPr>
        <w:t xml:space="preserve">гарантий оказания гражданам Российской Федерации </w:t>
      </w:r>
      <w:r w:rsidR="007e1d2f">
        <w:rPr>
          <w:sz w:val="28"/>
          <w:szCs w:val="28"/>
        </w:rPr>
        <w:t xml:space="preserve">бесплатной медицинской помощи» заменить словами «</w:t>
      </w:r>
      <w:r w:rsidR="007e1d2f" w:rsidRPr="001c1b36">
        <w:rPr>
          <w:sz w:val="28"/>
          <w:szCs w:val="28"/>
        </w:rPr>
        <w:t xml:space="preserve">гарантий бесплатного оказан</w:t>
      </w:r>
      <w:r w:rsidR="007e1d2f">
        <w:rPr>
          <w:sz w:val="28"/>
          <w:szCs w:val="28"/>
        </w:rPr>
        <w:t xml:space="preserve">ия гражданам медицинской помощи»;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2) </w:t>
      </w:r>
      <w:r w:rsidR="007e1d2f" w:rsidRPr="0016419d">
        <w:rPr>
          <w:sz w:val="28"/>
          <w:szCs w:val="28"/>
        </w:rPr>
        <w:fldChar w:fldCharType="begin"/>
      </w:r>
      <w:r w:rsidR="007e1d2f" w:rsidRPr="0016419d">
        <w:rPr>
          <w:sz w:val="28"/>
          <w:szCs w:val="28"/>
        </w:rPr>
        <w:instrText xml:space="preserve">HYPERLINK consultantplus://offline/ref=FC4CF59563F07576DFC62C69C38360F0294F5568EE61CFFA28FD372B9E08038FF0671CC535o1EAF </w:instrText>
      </w:r>
      <w:r w:rsidR="007e1d2f" w:rsidRPr="0016419d">
        <w:rPr>
          <w:sz w:val="28"/>
          <w:szCs w:val="28"/>
        </w:rPr>
      </w:r>
      <w:r w:rsidR="007e1d2f" w:rsidRPr="0016419d">
        <w:rPr>
          <w:sz w:val="28"/>
          <w:szCs w:val="28"/>
        </w:rPr>
        <w:fldChar w:fldCharType="separate"/>
      </w:r>
      <w:r w:rsidR="007e1d2f">
        <w:rPr>
          <w:rStyle w:val="Hyperlink"/>
          <w:u w:val="none"/>
          <w:sz w:val="28"/>
          <w:szCs w:val="28"/>
          <w:color w:val="000000"/>
        </w:rPr>
        <w:instrText xml:space="preserve">пункт 28 части 1</w:instrText>
      </w:r>
      <w:r w:rsidR="007e1d2f" w:rsidRPr="0016419d">
        <w:rPr>
          <w:sz w:val="28"/>
          <w:szCs w:val="28"/>
        </w:rPr>
        <w:fldChar w:fldCharType="end"/>
      </w:r>
      <w:r w:rsidR="007e1d2f">
        <w:rPr>
          <w:sz w:val="28"/>
          <w:szCs w:val="28"/>
        </w:rPr>
        <w:t xml:space="preserve"> изложить в следующей редакции: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«28) присвоение адресов объектам адресации, изменение, аннулирование адресов, присвоение наименований элементам улично-дорожной сети </w:t>
        <w:br w:clear="all" w:type="textWrapping"/>
        <w:t xml:space="preserve"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реестре;»;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3) пункт 39 части 1 признать утратившим силу.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2. В пункте 3 части 1 статьи 13 слова «формирование и размещение муниципального заказа» заменить словами «осуществление закупок товаров, работ, услуг для обес</w:t>
      </w:r>
      <w:r w:rsidR="00c208cc">
        <w:rPr>
          <w:sz w:val="28"/>
          <w:szCs w:val="28"/>
        </w:rPr>
        <w:t xml:space="preserve">печения муниципальных нужд».</w:t>
      </w:r>
      <w:r w:rsidR="007e1d2f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3. В статье 21: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2dbb">
        <w:rPr>
          <w:sz w:val="28"/>
          <w:szCs w:val="28"/>
        </w:rPr>
        <w:t xml:space="preserve">1</w:t>
      </w:r>
      <w:r w:rsidR="007e1d2f">
        <w:rPr>
          <w:sz w:val="28"/>
          <w:szCs w:val="28"/>
        </w:rPr>
        <w:t xml:space="preserve">) в пункте 3 части 9 слова «так и по договору с» заменить словами «так и на основании договора между органами территориального общественного самоуправления и»;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d2dbb">
        <w:rPr>
          <w:sz w:val="28"/>
          <w:szCs w:val="28"/>
        </w:rPr>
        <w:t xml:space="preserve">2</w:t>
      </w:r>
      <w:r w:rsidR="007e1d2f">
        <w:rPr>
          <w:sz w:val="28"/>
          <w:szCs w:val="28"/>
        </w:rPr>
        <w:t xml:space="preserve">) в пункте 4 слова «в соответствии с их компете</w:t>
      </w:r>
      <w:r w:rsidR="007e1d2f">
        <w:rPr>
          <w:sz w:val="28"/>
          <w:szCs w:val="28"/>
        </w:rPr>
        <w:t xml:space="preserve">нцией» заменить словами «и должностными лицами местного самоуправления, к компетенции которых отнесено принятие указанных актов».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c53f3">
        <w:rPr>
          <w:sz w:val="28"/>
          <w:szCs w:val="28"/>
        </w:rPr>
        <w:t xml:space="preserve">4</w:t>
      </w:r>
      <w:r w:rsidR="007e1d2f">
        <w:rPr>
          <w:sz w:val="28"/>
          <w:szCs w:val="28"/>
        </w:rPr>
        <w:t xml:space="preserve">. В статье 28: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1) пункт 14 части 2 исключить;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2) пункт 17 части 2 исключить;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3) в пункте 30 части 2 слова </w:t>
      </w:r>
      <w:r w:rsidR="007e1d2f" w:rsidRPr="006b2a08">
        <w:rPr>
          <w:sz w:val="28"/>
          <w:szCs w:val="28"/>
        </w:rPr>
        <w:t xml:space="preserve">«, муниципального контроля за проведением муниципальных лотерей</w:t>
      </w:r>
      <w:r w:rsidR="007e1d2f">
        <w:rPr>
          <w:sz w:val="28"/>
          <w:szCs w:val="28"/>
        </w:rPr>
        <w:t xml:space="preserve">» исключить;</w:t>
      </w:r>
      <w:r w:rsidR="007e1d2f" w:rsidRPr="006b2a08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4) в пункте 39 части 2 слова «работников муниципальных учреждений, финансируемых из бюджета городского округа,» исключить;</w:t>
      </w:r>
    </w:p>
    <w:p w:rsidP="00c208cc">
      <w:pPr>
        <w:pStyle w:val="Normal"/>
        <w:rPr>
          <w:i/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5) пункт 44 части 2 </w:t>
      </w:r>
      <w:r w:rsidR="007e1d2f" w:rsidRPr="002c1d46">
        <w:rPr>
          <w:sz w:val="28"/>
          <w:szCs w:val="28"/>
        </w:rPr>
        <w:t xml:space="preserve">изложить в следующей редакции:</w:t>
      </w:r>
      <w:r w:rsidR="007e1d2f" w:rsidRPr="00f30c5b">
        <w:rPr>
          <w:i/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«</w:t>
      </w:r>
      <w:r w:rsidR="007e1d2f" w:rsidRPr="003c54c3">
        <w:rPr>
          <w:sz w:val="28"/>
          <w:szCs w:val="28"/>
        </w:rPr>
        <w:t xml:space="preserve">44) определение порядка </w:t>
      </w:r>
      <w:r w:rsidR="007e1d2f">
        <w:rPr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изменения, аннулирования таких наименований, размещения информации в государственном адресном реестре</w:t>
      </w:r>
      <w:r w:rsidR="007e1d2f" w:rsidRPr="00506690">
        <w:rPr>
          <w:sz w:val="28"/>
          <w:szCs w:val="28"/>
        </w:rPr>
        <w:t xml:space="preserve">;»</w:t>
      </w:r>
      <w:r w:rsidR="00c208cc" w:rsidRPr="00506690">
        <w:rPr>
          <w:sz w:val="28"/>
          <w:szCs w:val="28"/>
        </w:rPr>
        <w:t xml:space="preserve">.</w:t>
      </w:r>
      <w:r w:rsidR="007e1d2f" w:rsidRPr="00506690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1c53f3" w:rsidRPr="00506690">
        <w:rPr>
          <w:sz w:val="28"/>
          <w:szCs w:val="28"/>
        </w:rPr>
        <w:t xml:space="preserve">5</w:t>
      </w:r>
      <w:r w:rsidR="007e1d2f" w:rsidRPr="00506690">
        <w:rPr>
          <w:sz w:val="28"/>
          <w:szCs w:val="28"/>
        </w:rPr>
        <w:t xml:space="preserve">. В части 1 статьи 31 слово «</w:t>
      </w:r>
      <w:r w:rsidR="00c208cc" w:rsidRPr="00506690">
        <w:rPr>
          <w:sz w:val="28"/>
          <w:szCs w:val="28"/>
        </w:rPr>
        <w:t xml:space="preserve">, </w:t>
      </w:r>
      <w:r w:rsidR="007e1d2f" w:rsidRPr="00506690">
        <w:rPr>
          <w:sz w:val="28"/>
          <w:szCs w:val="28"/>
        </w:rPr>
        <w:t xml:space="preserve">хозяйственное» исключить.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1c53f3" w:rsidRPr="00506690">
        <w:rPr>
          <w:sz w:val="28"/>
          <w:szCs w:val="28"/>
        </w:rPr>
        <w:t xml:space="preserve">6</w:t>
      </w:r>
      <w:r w:rsidR="007e1d2f" w:rsidRPr="00506690">
        <w:rPr>
          <w:sz w:val="28"/>
          <w:szCs w:val="28"/>
        </w:rPr>
        <w:t xml:space="preserve">. В статье 48: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1) пункт 5 части 1 дополнить словами «определение порядка оплаты труда работников муниципальных учреждений, финансируемых из бюджета городского округа;»;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7e1d2f">
        <w:rPr>
          <w:sz w:val="28"/>
          <w:szCs w:val="28"/>
        </w:rPr>
        <w:t xml:space="preserve">2) </w:t>
      </w:r>
      <w:r w:rsidR="007e1d2f" w:rsidRPr="0016419d">
        <w:rPr>
          <w:sz w:val="28"/>
          <w:szCs w:val="28"/>
        </w:rPr>
        <w:fldChar w:fldCharType="begin"/>
      </w:r>
      <w:r w:rsidR="007e1d2f" w:rsidRPr="0016419d">
        <w:rPr>
          <w:sz w:val="28"/>
          <w:szCs w:val="28"/>
        </w:rPr>
        <w:instrText xml:space="preserve">HYPERLINK consultantplus://offline/ref=FC4CF59563F07576DFC62C69C38360F0294F5568EE61CFFA28FD372B9E08038FF0671CC535o1EAF </w:instrText>
      </w:r>
      <w:r w:rsidR="007e1d2f" w:rsidRPr="0016419d">
        <w:rPr>
          <w:sz w:val="28"/>
          <w:szCs w:val="28"/>
        </w:rPr>
      </w:r>
      <w:r w:rsidR="007e1d2f" w:rsidRPr="0016419d">
        <w:rPr>
          <w:sz w:val="28"/>
          <w:szCs w:val="28"/>
        </w:rPr>
        <w:fldChar w:fldCharType="separate"/>
      </w:r>
      <w:r w:rsidR="007e1d2f">
        <w:rPr>
          <w:rStyle w:val="Hyperlink"/>
          <w:u w:val="none"/>
          <w:sz w:val="28"/>
          <w:szCs w:val="28"/>
          <w:color w:val="000000"/>
        </w:rPr>
        <w:instrText xml:space="preserve">пункт 32 части 1</w:instrText>
      </w:r>
      <w:r w:rsidR="007e1d2f" w:rsidRPr="0016419d">
        <w:rPr>
          <w:sz w:val="28"/>
          <w:szCs w:val="28"/>
        </w:rPr>
        <w:fldChar w:fldCharType="end"/>
      </w:r>
      <w:r w:rsidR="007e1d2f">
        <w:rPr>
          <w:sz w:val="28"/>
          <w:szCs w:val="28"/>
        </w:rPr>
        <w:t xml:space="preserve"> изложить в следующей редакции: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>
        <w:rPr>
          <w:sz w:val="28"/>
          <w:szCs w:val="28"/>
        </w:rPr>
        <w:t xml:space="preserve">«32) присвоение адресов объектам адресации, изменение, аннулирование адресов, присвоение наименований элементам улично-дорожной сети </w:t>
        <w:br w:clear="all" w:type="textWrapping"/>
        <w:t xml:space="preserve"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реестре;»;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 w:rsidRPr="00506690">
        <w:rPr>
          <w:sz w:val="28"/>
          <w:szCs w:val="28"/>
        </w:rPr>
        <w:t xml:space="preserve">3) пункт 33 части 1 дополнить словами «в пределах своих полномочий созда</w:t>
      </w:r>
      <w:r w:rsidR="00d35b6c" w:rsidRPr="00506690">
        <w:rPr>
          <w:sz w:val="28"/>
          <w:szCs w:val="28"/>
        </w:rPr>
        <w:t xml:space="preserve">ние и поддержание в состоянии готовности сил и средств</w:t>
      </w:r>
      <w:r w:rsidR="007e1d2f" w:rsidRPr="00506690">
        <w:rPr>
          <w:sz w:val="28"/>
          <w:szCs w:val="28"/>
        </w:rPr>
        <w:t xml:space="preserve"> гражданской обороны, необходимы</w:t>
      </w:r>
      <w:r w:rsidR="00d35b6c" w:rsidRPr="00506690">
        <w:rPr>
          <w:sz w:val="28"/>
          <w:szCs w:val="28"/>
        </w:rPr>
        <w:t xml:space="preserve">х</w:t>
      </w:r>
      <w:r w:rsidR="007e1d2f" w:rsidRPr="00506690">
        <w:rPr>
          <w:sz w:val="28"/>
          <w:szCs w:val="28"/>
        </w:rPr>
        <w:t xml:space="preserve"> для решения вопросов местного значения;»;</w:t>
      </w:r>
    </w:p>
    <w:p w:rsidP="00c208cc">
      <w:pPr>
        <w:pStyle w:val="Normal"/>
        <w:rPr>
          <w:i/>
          <w:sz w:val="28"/>
          <w:szCs w:val="28"/>
        </w:rPr>
        <w:autoSpaceDE w:val="off"/>
        <w:autoSpaceDN w:val="off"/>
        <w:ind w:firstLine="709"/>
        <w:jc w:val="both"/>
      </w:pPr>
      <w:r w:rsidR="007e1d2f" w:rsidRPr="00506690">
        <w:rPr>
          <w:sz w:val="28"/>
          <w:szCs w:val="28"/>
        </w:rPr>
        <w:t xml:space="preserve">4) пункт 59 части 1 исключить.</w:t>
      </w:r>
      <w:r w:rsidR="007e1d2f" w:rsidRPr="00506690">
        <w:rPr>
          <w:i/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35b6c" w:rsidRPr="00506690">
        <w:rPr>
          <w:sz w:val="28"/>
          <w:szCs w:val="28"/>
        </w:rPr>
        <w:t xml:space="preserve">7</w:t>
      </w:r>
      <w:r w:rsidR="007e1d2f" w:rsidRPr="00506690">
        <w:rPr>
          <w:sz w:val="28"/>
          <w:szCs w:val="28"/>
        </w:rPr>
        <w:t xml:space="preserve">. Статью 78 изложить в следующей редакции: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 w:rsidRPr="00506690">
        <w:rPr>
          <w:sz w:val="28"/>
          <w:szCs w:val="28"/>
        </w:rPr>
        <w:t xml:space="preserve">«</w:t>
      </w:r>
      <w:r w:rsidR="007e1d2f" w:rsidRPr="00506690">
        <w:rPr>
          <w:b/>
          <w:sz w:val="28"/>
          <w:szCs w:val="28"/>
        </w:rPr>
        <w:t xml:space="preserve">Статья 78. Закупки для обеспечения муниципальных нужд</w:t>
      </w:r>
      <w:r w:rsidR="007e1d2f" w:rsidRPr="00506690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 w:rsidRPr="00506690"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</w:t>
        <w:br w:clear="all" w:type="textWrapping"/>
        <w:t xml:space="preserve">о контрактной системе в сфере закупок товаров, работ, услуг для обеспечения государственных и муниципальных нужд.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7e1d2f" w:rsidRPr="00506690"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бюджета городского округа.».</w:t>
      </w:r>
    </w:p>
    <w:p w:rsidP="00c208c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35b6c" w:rsidRPr="00506690">
        <w:rPr>
          <w:sz w:val="28"/>
          <w:szCs w:val="28"/>
        </w:rPr>
        <w:t xml:space="preserve">8</w:t>
      </w:r>
      <w:r w:rsidR="007e1d2f" w:rsidRPr="00506690">
        <w:rPr>
          <w:sz w:val="28"/>
          <w:szCs w:val="28"/>
        </w:rPr>
        <w:t xml:space="preserve">. Настоящее Решение вступает в силу после дня его официального опубликования после государственной регистрации, за исключением положений, для которых настоящим Решением установлен иной срок вступления их в силу.</w:t>
      </w:r>
    </w:p>
    <w:p w:rsidP="00c208cc">
      <w:pPr>
        <w:pStyle w:val="Normal"/>
        <w:rPr>
          <w:sz w:val="28"/>
          <w:szCs w:val="28"/>
        </w:rPr>
        <w:ind w:firstLine="709"/>
        <w:jc w:val="both"/>
      </w:pPr>
      <w:r w:rsidR="00d35b6c" w:rsidRPr="00506690">
        <w:rPr>
          <w:sz w:val="28"/>
          <w:szCs w:val="28"/>
        </w:rPr>
        <w:t xml:space="preserve">9</w:t>
      </w:r>
      <w:r w:rsidR="007e1d2f" w:rsidRPr="00506690">
        <w:rPr>
          <w:sz w:val="28"/>
          <w:szCs w:val="28"/>
        </w:rPr>
        <w:t xml:space="preserve">. Подпункт 2 пункта 1, подпункт 5 пункта </w:t>
      </w:r>
      <w:r w:rsidR="001c53f3" w:rsidRPr="00506690">
        <w:rPr>
          <w:sz w:val="28"/>
          <w:szCs w:val="28"/>
        </w:rPr>
        <w:t xml:space="preserve">4</w:t>
      </w:r>
      <w:r w:rsidR="007e1d2f" w:rsidRPr="00506690">
        <w:rPr>
          <w:sz w:val="28"/>
          <w:szCs w:val="28"/>
        </w:rPr>
        <w:t xml:space="preserve"> и подпункт 2 пункта </w:t>
      </w:r>
      <w:r w:rsidR="001c53f3" w:rsidRPr="00506690">
        <w:rPr>
          <w:sz w:val="28"/>
          <w:szCs w:val="28"/>
        </w:rPr>
        <w:t xml:space="preserve">6</w:t>
      </w:r>
      <w:r w:rsidR="007e1d2f" w:rsidRPr="00506690">
        <w:rPr>
          <w:sz w:val="28"/>
          <w:szCs w:val="28"/>
        </w:rPr>
        <w:t xml:space="preserve"> настоящего Решения вступаю</w:t>
      </w:r>
      <w:r w:rsidR="001c53f3" w:rsidRPr="00506690">
        <w:rPr>
          <w:sz w:val="28"/>
          <w:szCs w:val="28"/>
        </w:rPr>
        <w:t xml:space="preserve">т в силу с 01.07.</w:t>
      </w:r>
      <w:r w:rsidR="007e1d2f" w:rsidRPr="00506690">
        <w:rPr>
          <w:sz w:val="28"/>
          <w:szCs w:val="28"/>
        </w:rPr>
        <w:t xml:space="preserve">2014.</w:t>
      </w:r>
      <w:r w:rsidR="001c53f3" w:rsidRPr="00506690">
        <w:rPr>
          <w:sz w:val="28"/>
          <w:szCs w:val="28"/>
        </w:rPr>
      </w:r>
    </w:p>
    <w:p w:rsidP="00c208cc">
      <w:pPr>
        <w:pStyle w:val="Normal"/>
        <w:rPr>
          <w:sz w:val="28"/>
          <w:szCs w:val="28"/>
          <w:color w:val="000000"/>
        </w:rPr>
      </w:pPr>
      <w:r w:rsidR="001c53f3" w:rsidRPr="001c53f3">
        <w:rPr>
          <w:sz w:val="28"/>
          <w:szCs w:val="28"/>
          <w:color w:val="000000"/>
        </w:rPr>
      </w:r>
    </w:p>
    <w:p w:rsidP="007e1d2f">
      <w:pPr>
        <w:pStyle w:val="Normal"/>
        <w:rPr>
          <w:sz w:val="28"/>
          <w:szCs w:val="28"/>
        </w:rPr>
        <w:jc w:val="both"/>
      </w:pPr>
      <w:r w:rsidR="00ec62d4" w:rsidRPr="00c208c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2268"/>
        <w:gridCol w:w="3118"/>
      </w:tblGrid>
      <w:tr>
        <w:trPr>
          <w:trHeight w:hRule="atLeast" w:val="936"/>
          <w:wAfter w:type="dxa" w:w="0"/>
          <w:trHeight w:hRule="atLeast" w:val="936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28"/>
              </w:rPr>
              <w:spacing w:line="0" w:lineRule="auto"/>
              <w:jc w:val="both"/>
            </w:pPr>
            <w:r w:rsidR="00c208cc">
              <w:rPr>
                <w:sz w:val="28"/>
              </w:rPr>
              <w:t xml:space="preserve">Глава</w:t>
            </w:r>
          </w:p>
          <w:p w:rsidP="00c208cc">
            <w:pPr>
              <w:pStyle w:val="Normal"/>
              <w:rPr>
                <w:sz w:val="28"/>
              </w:rPr>
              <w:spacing w:line="0" w:lineRule="auto"/>
              <w:jc w:val="both"/>
            </w:pPr>
            <w:r w:rsidR="00c208cc" w:rsidRPr="00266761">
              <w:rPr>
                <w:sz w:val="28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28"/>
              </w:rPr>
              <w:spacing w:line="0" w:lineRule="auto"/>
            </w:pPr>
            <w:r w:rsidR="00c208cc" w:rsidRPr="00266761">
              <w:rPr>
                <w:sz w:val="28"/>
              </w:rPr>
            </w:r>
          </w:p>
        </w:tc>
        <w:tc>
          <w:tcPr>
            <w:textDirection w:val="lrTb"/>
            <w:vAlign w:val="top"/>
            <w:tcW w:type="dxa" w:w="31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208cc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c208cc" w:rsidRPr="00266761">
              <w:rPr>
                <w:sz w:val="28"/>
              </w:rPr>
            </w:r>
          </w:p>
          <w:p w:rsidP="00c208cc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c208cc" w:rsidRPr="00266761">
              <w:rPr>
                <w:sz w:val="28"/>
              </w:rPr>
            </w:r>
          </w:p>
          <w:p w:rsidP="00c208cc">
            <w:pPr>
              <w:pStyle w:val="Normal"/>
              <w:rPr>
                <w:sz w:val="28"/>
              </w:rPr>
              <w:ind w:right="-108"/>
              <w:spacing w:line="0" w:lineRule="auto"/>
              <w:jc w:val="right"/>
            </w:pPr>
            <w:r w:rsidR="00c208cc" w:rsidRPr="00266761">
              <w:rPr>
                <w:sz w:val="28"/>
              </w:rPr>
              <w:t xml:space="preserve">К.Г.</w:t>
            </w:r>
            <w:r w:rsidR="00c208cc" w:rsidRPr="00266761">
              <w:rPr>
                <w:sz w:val="28"/>
                <w:lang w:val="en-US"/>
              </w:rPr>
              <w:t xml:space="preserve"> </w:t>
            </w:r>
            <w:r w:rsidR="00c208cc" w:rsidRPr="00266761">
              <w:rPr>
                <w:sz w:val="28"/>
              </w:rPr>
              <w:t xml:space="preserve">Слыщенко</w:t>
            </w:r>
          </w:p>
        </w:tc>
      </w:tr>
    </w:tbl>
    <w:p w:rsidP="004d13f0">
      <w:pPr>
        <w:pStyle w:val="Normal"/>
        <w:rPr>
          <w:sz w:val="28"/>
          <w:szCs w:val="28"/>
        </w:rPr>
        <w:tabs>
          <w:tab w:leader="none" w:pos="8385" w:val="left"/>
        </w:tabs>
      </w:pPr>
      <w:r w:rsidR="003b7567">
        <w:rPr>
          <w:sz w:val="28"/>
          <w:szCs w:val="28"/>
        </w:rPr>
      </w:r>
    </w:p>
    <w:sectPr>
      <w:type w:val="nextPage"/>
      <w:pgSz w:h="16838" w:w="11906"/>
      <w:pgMar w:bottom="709" w:footer="708" w:gutter="0" w:header="708" w:left="1134" w:right="567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0022f97"/>
    <w:multiLevelType w:val="multilevel"/>
    <w:tmpl w:val="e7ee3cd0"/>
    <w:lvl w:ilvl="0">
      <w:start w:val="1"/>
      <w:numFmt w:val="decimal"/>
      <w:suff w:val="tab"/>
      <w:lvlText w:val="%1."/>
      <w:lvlJc w:val="left"/>
      <w:pPr>
        <w:pStyle w:val="Normal"/>
      </w:pPr>
      <w:rPr>
        <w:b w:val="false"/>
        <w:i w:val="false"/>
        <w:strike w:val="false"/>
        <w:smallCaps w:val="false"/>
        <w:u w:val="none"/>
        <w:spacing w:val="0"/>
        <w:sz w:val="26"/>
        <w:position w:val="0"/>
        <w:w w:val="100"/>
        <w:bCs w:val="false"/>
        <w:iCs w:val="false"/>
        <w:szCs w:val="26"/>
        <w:lang w:val="en-US"/>
        <w:rFonts w:ascii="Times New Roman" w:eastAsia="Times New Roman" w:hAnsi="Times New Roman"/>
        <w:color w:val="000000"/>
      </w:rPr>
    </w:lvl>
    <w:lvl w:ilvl="1">
      <w:start w:val="3"/>
      <w:numFmt w:val="decimal"/>
      <w:suff w:val="tab"/>
      <w:lvlText w:val="%2."/>
      <w:lvlJc w:val="left"/>
      <w:pPr>
        <w:pStyle w:val="Normal"/>
      </w:pPr>
      <w:rPr>
        <w:b w:val="false"/>
        <w:i w:val="false"/>
        <w:strike w:val="false"/>
        <w:smallCaps w:val="false"/>
        <w:u w:val="none"/>
        <w:spacing w:val="0"/>
        <w:sz w:val="26"/>
        <w:position w:val="0"/>
        <w:w w:val="100"/>
        <w:bCs w:val="false"/>
        <w:iCs w:val="false"/>
        <w:szCs w:val="26"/>
        <w:lang w:val="en-US"/>
        <w:rFonts w:ascii="Times New Roman" w:eastAsia="Times New Roman" w:hAnsi="Times New Roman"/>
        <w:color w:val="000000"/>
      </w:r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abstractNum w:abstractNumId="1">
    <w:nsid w:val="27f63327"/>
    <w:multiLevelType w:val="multilevel"/>
    <w:tmpl w:val="4008ea74"/>
    <w:lvl w:ilvl="0">
      <w:start w:val="3"/>
      <w:numFmt w:val="decimal"/>
      <w:suff w:val="tab"/>
      <w:lvlText w:val="%1."/>
      <w:lvlJc w:val="left"/>
      <w:pPr>
        <w:pStyle w:val="Normal"/>
      </w:pPr>
      <w:rPr>
        <w:b w:val="false"/>
        <w:i w:val="false"/>
        <w:strike w:val="false"/>
        <w:smallCaps w:val="false"/>
        <w:u w:val="none"/>
        <w:spacing w:val="0"/>
        <w:sz w:val="26"/>
        <w:position w:val="0"/>
        <w:w w:val="100"/>
        <w:bCs w:val="false"/>
        <w:iCs w:val="false"/>
        <w:szCs w:val="26"/>
        <w:lang w:val="en-US"/>
        <w:rFonts w:ascii="Times New Roman" w:eastAsia="Times New Roman" w:hAnsi="Times New Roman"/>
        <w:color w:val="000000"/>
      </w:rPr>
    </w:lvl>
    <w:lvl w:ilvl="1">
      <w:start w:val="1"/>
      <w:numFmt w:val="decimal"/>
      <w:suff w:val="tab"/>
      <w:lvlText w:val="%2."/>
      <w:lvlJc w:val="left"/>
      <w:pPr>
        <w:pStyle w:val="Normal"/>
      </w:pPr>
      <w:rPr>
        <w:b w:val="false"/>
        <w:i w:val="false"/>
        <w:strike w:val="false"/>
        <w:smallCaps w:val="false"/>
        <w:u w:val="none"/>
        <w:spacing w:val="0"/>
        <w:sz w:val="26"/>
        <w:position w:val="0"/>
        <w:w w:val="100"/>
        <w:bCs w:val="false"/>
        <w:iCs w:val="false"/>
        <w:szCs w:val="26"/>
        <w:lang w:val="en-US"/>
        <w:rFonts w:ascii="Times New Roman" w:eastAsia="Times New Roman" w:hAnsi="Times New Roman"/>
        <w:color w:val="000000"/>
      </w:rPr>
    </w:lvl>
    <w:lvl w:ilvl="2">
      <w:start w:val="0"/>
      <w:numFmt w:val="decimal"/>
      <w:suff w:val="tab"/>
      <w:lvlText w:val=""/>
      <w:lvlJc w:val="left"/>
      <w:pPr>
        <w:pStyle w:val="Normal"/>
      </w:pPr>
    </w:lvl>
    <w:lvl w:ilvl="3">
      <w:start w:val="0"/>
      <w:numFmt w:val="decimal"/>
      <w:suff w:val="tab"/>
      <w:lvlText w:val=""/>
      <w:lvlJc w:val="left"/>
      <w:pPr>
        <w:pStyle w:val="Normal"/>
      </w:pPr>
    </w:lvl>
    <w:lvl w:ilvl="4">
      <w:start w:val="0"/>
      <w:numFmt w:val="decimal"/>
      <w:suff w:val="tab"/>
      <w:lvlText w:val=""/>
      <w:lvlJc w:val="left"/>
      <w:pPr>
        <w:pStyle w:val="Normal"/>
      </w:pPr>
    </w:lvl>
    <w:lvl w:ilvl="5">
      <w:start w:val="0"/>
      <w:numFmt w:val="decimal"/>
      <w:suff w:val="tab"/>
      <w:lvlText w:val=""/>
      <w:lvlJc w:val="left"/>
      <w:pPr>
        <w:pStyle w:val="Normal"/>
      </w:pPr>
    </w:lvl>
    <w:lvl w:ilvl="6">
      <w:start w:val="0"/>
      <w:numFmt w:val="decimal"/>
      <w:suff w:val="tab"/>
      <w:lvlText w:val=""/>
      <w:lvlJc w:val="left"/>
      <w:pPr>
        <w:pStyle w:val="Normal"/>
      </w:pPr>
    </w:lvl>
    <w:lvl w:ilvl="7">
      <w:start w:val="0"/>
      <w:numFmt w:val="decimal"/>
      <w:suff w:val="tab"/>
      <w:lvlText w:val=""/>
      <w:lvlJc w:val="left"/>
      <w:pPr>
        <w:pStyle w:val="Normal"/>
      </w:pPr>
    </w:lvl>
    <w:lvl w:ilvl="8">
      <w:start w:val="0"/>
      <w:numFmt w:val="decimal"/>
      <w:suff w:val="tab"/>
      <w:lvlText w:val=""/>
      <w:lvlJc w:val="left"/>
      <w:pPr>
        <w:pStyle w:val="Normal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1435a9"/>
    <w:rsid w:val="0016419d"/>
    <w:rsid w:val="001c1b36"/>
    <w:rsid w:val="001c53f3"/>
    <w:rsid w:val="00266761"/>
    <w:rsid w:val="002c1d46"/>
    <w:rsid w:val="003b7567"/>
    <w:rsid w:val="003c54c3"/>
    <w:rsid w:val="00413c23"/>
    <w:rsid w:val="004216fd"/>
    <w:rsid w:val="004d13f0"/>
    <w:rsid w:val="00506690"/>
    <w:rsid w:val="006b2a08"/>
    <w:rsid w:val="007e1d2f"/>
    <w:rsid w:val="008012d5"/>
    <w:rsid w:val="008c6a31"/>
    <w:rsid w:val="00b1791d"/>
    <w:rsid w:val="00c208cc"/>
    <w:rsid w:val="00c80bac"/>
    <w:rsid w:val="00d35b6c"/>
    <w:rsid w:val="00db4f51"/>
    <w:rsid w:val="00dd2dbb"/>
    <w:rsid w:val="00e2239b"/>
    <w:rsid w:val="00e31018"/>
    <w:rsid w:val="00ec62d4"/>
    <w:rsid w:val="00ef7e01"/>
    <w:rsid w:val="00f30c5b"/>
    <w:rsid w:val="00f43ab6"/>
    <w:rsid w:val="00fe0de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Heading1"/>
    <w:link w:val="StGen1"/>
    <w:pPr>
      <w:outlineLvl w:val="0"/>
      <w:spacing w:after="622"/>
    </w:pPr>
    <w:rPr>
      <w:b/>
      <w:sz w:val="46"/>
      <w:kern w:val="36"/>
      <w:bCs/>
      <w:szCs w:val="46"/>
      <w:color w:val="00000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3">
    <w:name w:val="StGen3"/>
    <w:next w:val="StGen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6"/>
    <w:rPr>
      <w:sz w:val="16"/>
      <w:szCs w:val="16"/>
      <w:rFonts w:ascii="Tahoma" w:hAnsi="Tahoma"/>
    </w:rPr>
  </w:style>
  <w:style w:type="character" w:styleId="StGen6">
    <w:name w:val="StGen6"/>
    <w:next w:val="StGen6"/>
    <w:link w:val="Acetate"/>
    <w:rPr>
      <w:sz w:val="16"/>
      <w:szCs w:val="16"/>
      <w:rFonts w:ascii="Tahoma" w:hAnsi="Tahom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">
    <w:name w:val="StGen1"/>
    <w:next w:val="StGen1"/>
    <w:link w:val="Heading1"/>
    <w:rPr>
      <w:b/>
      <w:sz w:val="46"/>
      <w:kern w:val="36"/>
      <w:bCs/>
      <w:szCs w:val="46"/>
      <w:color w:val="000000"/>
    </w:rPr>
  </w:style>
  <w:style w:type="paragraph" w:styleId="Title">
    <w:name w:val="Title"/>
    <w:basedOn w:val="Normal"/>
    <w:next w:val="Title"/>
    <w:link w:val="StGen7"/>
    <w:pPr>
      <w:jc w:val="center"/>
    </w:pPr>
    <w:rPr>
      <w:b/>
      <w:sz w:val="32"/>
    </w:rPr>
  </w:style>
  <w:style w:type="character" w:styleId="StGen7">
    <w:name w:val="StGen7"/>
    <w:next w:val="StGen7"/>
    <w:link w:val="Title"/>
    <w:rPr>
      <w:b/>
      <w:sz w:val="32"/>
      <w:szCs w:val="24"/>
    </w:rPr>
  </w:style>
  <w:style w:type="paragraph" w:styleId="BodyTextIndent2">
    <w:name w:val="BodyTextIndent2"/>
    <w:basedOn w:val="Normal"/>
    <w:next w:val="BodyTextIndent2"/>
    <w:link w:val="StGen8"/>
    <w:pPr>
      <w:ind w:left="283"/>
      <w:spacing w:after="120" w:line="480" w:lineRule="auto"/>
    </w:pPr>
  </w:style>
  <w:style w:type="character" w:styleId="StGen8">
    <w:name w:val="StGen8"/>
    <w:next w:val="StGen8"/>
    <w:link w:val="BodyTextIndent2"/>
    <w:rPr>
      <w:sz w:val="24"/>
      <w:szCs w:val="24"/>
    </w:rPr>
  </w:style>
  <w:style w:type="paragraph" w:styleId="NavPane">
    <w:name w:val="NavPane"/>
    <w:basedOn w:val="Normal"/>
    <w:next w:val="NavPane"/>
    <w:link w:val="StGen9"/>
    <w:rPr>
      <w:sz w:val="16"/>
      <w:szCs w:val="16"/>
      <w:rFonts w:ascii="Tahoma" w:hAnsi="Tahoma"/>
    </w:rPr>
  </w:style>
  <w:style w:type="character" w:styleId="StGen9">
    <w:name w:val="StGen9"/>
    <w:next w:val="StGen9"/>
    <w:link w:val="NavPane"/>
    <w:rPr>
      <w:sz w:val="16"/>
      <w:szCs w:val="16"/>
      <w:rFonts w:ascii="Tahoma" w:hAnsi="Tahoma"/>
    </w:rPr>
  </w:style>
  <w:style w:type="character" w:styleId="StGen10">
    <w:name w:val="StGen10"/>
    <w:next w:val="StGen10"/>
    <w:link w:val="Normal"/>
    <w:rPr>
      <w:sz w:val="22"/>
      <w:szCs w:val="22"/>
      <w:rFonts w:ascii="Times New Roman" w:hAnsi="Times New Roman"/>
    </w:rPr>
  </w:style>
  <w:style w:type="paragraph" w:styleId="StGen11">
    <w:name w:val="StGen11"/>
    <w:next w:val="StGen11"/>
    <w:link w:val="Normal"/>
    <w:pPr>
      <w:autoSpaceDE w:val="off"/>
      <w:autoSpaceDN w:val="off"/>
    </w:pPr>
    <w:rPr>
      <w:b/>
      <w:sz w:val="28"/>
      <w:bCs/>
      <w:szCs w:val="28"/>
      <w:lang w:bidi="ar-SA" w:eastAsia="en-US" w:val="ru-RU"/>
      <w:rFonts w:eastAsia="Calibri"/>
    </w:rPr>
  </w:style>
  <w:style w:type="character" w:styleId="StGen12">
    <w:name w:val="StGen12"/>
    <w:next w:val="StGen12"/>
    <w:link w:val="Normal"/>
    <w:rPr>
      <w:sz w:val="22"/>
      <w:szCs w:val="22"/>
      <w:rFonts w:ascii="Times New Roman" w:hAnsi="Times New Roman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14">
    <w:name w:val="StGen14"/>
    <w:next w:val="StGen14"/>
    <w:link w:val="Normal"/>
    <w:pPr>
      <w:widowControl w:val="off"/>
      <w:autoSpaceDE w:val="off"/>
      <w:autoSpaceDN w:val="off"/>
      <w:ind w:right="19772"/>
    </w:pPr>
    <w:rPr>
      <w:sz w:val="18"/>
      <w:szCs w:val="18"/>
      <w:lang w:bidi="ar-SA" w:eastAsia="ru-RU" w:val="ru-RU"/>
      <w:rFonts w:ascii="Courier New" w:hAnsi="Courier New"/>
    </w:rPr>
  </w:style>
  <w:style w:type="character" w:styleId="StGen15">
    <w:name w:val="StGen15"/>
    <w:next w:val="StGen15"/>
    <w:link w:val="StGen16"/>
    <w:rPr>
      <w:sz w:val="26"/>
      <w:szCs w:val="26"/>
      <w:shd w:color="auto" w:fill="ffffff" w:val="clear"/>
    </w:rPr>
  </w:style>
  <w:style w:type="paragraph" w:styleId="StGen16">
    <w:name w:val="StGen16"/>
    <w:basedOn w:val="Normal"/>
    <w:next w:val="StGen16"/>
    <w:link w:val="StGen15"/>
    <w:pPr>
      <w:shd w:color="auto" w:fill="ffffff" w:val="clear"/>
      <w:spacing w:line="322" w:lineRule="exact"/>
      <w:jc w:val="both"/>
    </w:pPr>
    <w:rPr>
      <w:sz w:val="26"/>
      <w:szCs w:val="26"/>
    </w:rPr>
  </w:style>
  <w:style w:type="character" w:styleId="StGen17">
    <w:name w:val="StGen17"/>
    <w:next w:val="StGen17"/>
    <w:link w:val="Normal"/>
    <w:rPr>
      <w:b/>
      <w:spacing w:val="0"/>
      <w:sz w:val="26"/>
      <w:bCs/>
      <w:szCs w:val="26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8"/>
    <w:pPr>
      <w:tabs>
        <w:tab w:leader="none" w:pos="4677" w:val="center"/>
        <w:tab w:leader="none" w:pos="9355" w:val="right"/>
      </w:tabs>
    </w:pPr>
  </w:style>
  <w:style w:type="character" w:styleId="StGen18">
    <w:name w:val="StGen18"/>
    <w:next w:val="StGen18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19"/>
    <w:pPr>
      <w:tabs>
        <w:tab w:leader="none" w:pos="4677" w:val="center"/>
        <w:tab w:leader="none" w:pos="9355" w:val="right"/>
      </w:tabs>
    </w:pPr>
  </w:style>
  <w:style w:type="character" w:styleId="StGen19">
    <w:name w:val="StGen19"/>
    <w:next w:val="StGen19"/>
    <w:link w:val="Footer"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